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1F7" w:rsidRDefault="009671F7" w:rsidP="009671F7">
      <w:pPr>
        <w:widowControl w:val="0"/>
        <w:autoSpaceDE w:val="0"/>
        <w:autoSpaceDN w:val="0"/>
        <w:adjustRightInd w:val="0"/>
        <w:rPr>
          <w:rFonts w:ascii="Arial" w:hAnsi="Arial" w:cs="Arial"/>
          <w:sz w:val="28"/>
          <w:szCs w:val="28"/>
        </w:rPr>
      </w:pPr>
      <w:r>
        <w:rPr>
          <w:rFonts w:ascii="Arial" w:hAnsi="Arial" w:cs="Arial"/>
          <w:noProof/>
          <w:sz w:val="28"/>
          <w:szCs w:val="28"/>
        </w:rPr>
        <w:drawing>
          <wp:inline distT="0" distB="0" distL="0" distR="0">
            <wp:extent cx="6096000" cy="482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482600"/>
                    </a:xfrm>
                    <a:prstGeom prst="rect">
                      <a:avLst/>
                    </a:prstGeom>
                    <a:noFill/>
                    <a:ln>
                      <a:noFill/>
                    </a:ln>
                  </pic:spPr>
                </pic:pic>
              </a:graphicData>
            </a:graphic>
          </wp:inline>
        </w:drawing>
      </w:r>
    </w:p>
    <w:tbl>
      <w:tblPr>
        <w:tblW w:w="8400" w:type="dxa"/>
        <w:tblInd w:w="-108" w:type="dxa"/>
        <w:tblBorders>
          <w:top w:val="nil"/>
          <w:left w:val="nil"/>
          <w:right w:val="nil"/>
        </w:tblBorders>
        <w:tblLayout w:type="fixed"/>
        <w:tblCellMar>
          <w:left w:w="0" w:type="dxa"/>
          <w:right w:w="0" w:type="dxa"/>
        </w:tblCellMar>
        <w:tblLook w:val="0000" w:firstRow="0" w:lastRow="0" w:firstColumn="0" w:lastColumn="0" w:noHBand="0" w:noVBand="0"/>
      </w:tblPr>
      <w:tblGrid>
        <w:gridCol w:w="8400"/>
      </w:tblGrid>
      <w:tr w:rsidR="009671F7">
        <w:tblPrEx>
          <w:tblCellMar>
            <w:top w:w="0" w:type="dxa"/>
            <w:left w:w="0" w:type="dxa"/>
            <w:bottom w:w="0" w:type="dxa"/>
            <w:right w:w="0" w:type="dxa"/>
          </w:tblCellMar>
        </w:tblPrEx>
        <w:tc>
          <w:tcPr>
            <w:tcW w:w="8400" w:type="dxa"/>
            <w:tcBorders>
              <w:top w:val="nil"/>
              <w:left w:val="nil"/>
              <w:bottom w:val="nil"/>
              <w:right w:val="nil"/>
            </w:tcBorders>
            <w:vAlign w:val="center"/>
          </w:tcPr>
          <w:p w:rsidR="009671F7" w:rsidRDefault="009671F7">
            <w:pPr>
              <w:widowControl w:val="0"/>
              <w:autoSpaceDE w:val="0"/>
              <w:autoSpaceDN w:val="0"/>
              <w:adjustRightInd w:val="0"/>
              <w:rPr>
                <w:rFonts w:ascii="Arial" w:hAnsi="Arial" w:cs="Arial"/>
                <w:sz w:val="28"/>
                <w:szCs w:val="28"/>
              </w:rPr>
            </w:pPr>
            <w:r>
              <w:rPr>
                <w:rFonts w:ascii="Arial" w:hAnsi="Arial" w:cs="Arial"/>
                <w:b/>
                <w:bCs/>
                <w:sz w:val="28"/>
                <w:szCs w:val="28"/>
              </w:rPr>
              <w:t xml:space="preserve">California apricots should hit the market by the end of April </w:t>
            </w:r>
            <w:r>
              <w:rPr>
                <w:rFonts w:ascii="Arial" w:hAnsi="Arial" w:cs="Arial"/>
                <w:sz w:val="28"/>
                <w:szCs w:val="28"/>
              </w:rPr>
              <w:t xml:space="preserve">after warm winter and spring weather led to an early crop. However, many trees have a lighter crop than normal due to having fewer chilling hours than necessary, which may influence pricing when the fruit is ready for market, reported </w:t>
            </w:r>
            <w:r>
              <w:rPr>
                <w:rFonts w:ascii="Arial" w:hAnsi="Arial" w:cs="Arial"/>
                <w:i/>
                <w:iCs/>
                <w:sz w:val="28"/>
                <w:szCs w:val="28"/>
              </w:rPr>
              <w:t xml:space="preserve">The Produce News. </w:t>
            </w:r>
            <w:hyperlink r:id="rId6" w:history="1">
              <w:r>
                <w:rPr>
                  <w:rFonts w:ascii="Arial" w:hAnsi="Arial" w:cs="Arial"/>
                  <w:b/>
                  <w:bCs/>
                  <w:color w:val="375372"/>
                  <w:sz w:val="28"/>
                  <w:szCs w:val="28"/>
                </w:rPr>
                <w:t>Full Story</w:t>
              </w:r>
            </w:hyperlink>
          </w:p>
          <w:p w:rsidR="009671F7" w:rsidRDefault="009671F7">
            <w:pPr>
              <w:widowControl w:val="0"/>
              <w:autoSpaceDE w:val="0"/>
              <w:autoSpaceDN w:val="0"/>
              <w:adjustRightInd w:val="0"/>
              <w:rPr>
                <w:rFonts w:ascii="Arial" w:hAnsi="Arial" w:cs="Arial"/>
                <w:b/>
                <w:bCs/>
                <w:sz w:val="28"/>
                <w:szCs w:val="28"/>
              </w:rPr>
            </w:pPr>
          </w:p>
          <w:p w:rsidR="009671F7" w:rsidRDefault="009671F7">
            <w:pPr>
              <w:widowControl w:val="0"/>
              <w:autoSpaceDE w:val="0"/>
              <w:autoSpaceDN w:val="0"/>
              <w:adjustRightInd w:val="0"/>
              <w:rPr>
                <w:rFonts w:ascii="Arial" w:hAnsi="Arial" w:cs="Arial"/>
                <w:sz w:val="28"/>
                <w:szCs w:val="28"/>
              </w:rPr>
            </w:pPr>
            <w:bookmarkStart w:id="0" w:name="_GoBack"/>
            <w:bookmarkEnd w:id="0"/>
            <w:r>
              <w:rPr>
                <w:rFonts w:ascii="Arial" w:hAnsi="Arial" w:cs="Arial"/>
                <w:b/>
                <w:bCs/>
                <w:sz w:val="28"/>
                <w:szCs w:val="28"/>
              </w:rPr>
              <w:t>Blueberry markets are in transition</w:t>
            </w:r>
            <w:r>
              <w:rPr>
                <w:rFonts w:ascii="Arial" w:hAnsi="Arial" w:cs="Arial"/>
                <w:sz w:val="28"/>
                <w:szCs w:val="28"/>
              </w:rPr>
              <w:t xml:space="preserve"> as Florida and Chilean deals end and California and Georgia deals begin to accelerate. Florida blueberries are expected to be in ample supply and should last through the week of April 20th, and California production should begin to peak between May 1 and 4, reported </w:t>
            </w:r>
            <w:r>
              <w:rPr>
                <w:rFonts w:ascii="Arial" w:hAnsi="Arial" w:cs="Arial"/>
                <w:i/>
                <w:iCs/>
                <w:sz w:val="28"/>
                <w:szCs w:val="28"/>
              </w:rPr>
              <w:t xml:space="preserve">The Packer. </w:t>
            </w:r>
            <w:hyperlink r:id="rId7" w:history="1">
              <w:r>
                <w:rPr>
                  <w:rFonts w:ascii="Arial" w:hAnsi="Arial" w:cs="Arial"/>
                  <w:b/>
                  <w:bCs/>
                  <w:color w:val="375372"/>
                  <w:sz w:val="28"/>
                  <w:szCs w:val="28"/>
                </w:rPr>
                <w:t>Full Story</w:t>
              </w:r>
            </w:hyperlink>
          </w:p>
          <w:p w:rsidR="009671F7" w:rsidRDefault="009671F7">
            <w:pPr>
              <w:widowControl w:val="0"/>
              <w:autoSpaceDE w:val="0"/>
              <w:autoSpaceDN w:val="0"/>
              <w:adjustRightInd w:val="0"/>
              <w:rPr>
                <w:rFonts w:ascii="Arial" w:hAnsi="Arial" w:cs="Arial"/>
                <w:b/>
                <w:bCs/>
                <w:sz w:val="28"/>
                <w:szCs w:val="28"/>
              </w:rPr>
            </w:pPr>
          </w:p>
          <w:p w:rsidR="009671F7" w:rsidRDefault="009671F7">
            <w:pPr>
              <w:widowControl w:val="0"/>
              <w:autoSpaceDE w:val="0"/>
              <w:autoSpaceDN w:val="0"/>
              <w:adjustRightInd w:val="0"/>
              <w:rPr>
                <w:rFonts w:ascii="Arial" w:hAnsi="Arial" w:cs="Arial"/>
                <w:sz w:val="28"/>
                <w:szCs w:val="28"/>
              </w:rPr>
            </w:pPr>
            <w:r>
              <w:rPr>
                <w:rFonts w:ascii="Arial" w:hAnsi="Arial" w:cs="Arial"/>
                <w:b/>
                <w:bCs/>
                <w:sz w:val="28"/>
                <w:szCs w:val="28"/>
              </w:rPr>
              <w:t>Mexico will export 36 million boxes of mangos to the U.S.</w:t>
            </w:r>
            <w:r>
              <w:rPr>
                <w:rFonts w:ascii="Arial" w:hAnsi="Arial" w:cs="Arial"/>
                <w:sz w:val="28"/>
                <w:szCs w:val="28"/>
              </w:rPr>
              <w:t xml:space="preserve"> during second quarter 2015, according to </w:t>
            </w:r>
            <w:proofErr w:type="spellStart"/>
            <w:r>
              <w:rPr>
                <w:rFonts w:ascii="Arial" w:hAnsi="Arial" w:cs="Arial"/>
                <w:sz w:val="28"/>
                <w:szCs w:val="28"/>
              </w:rPr>
              <w:t>Empacadoras</w:t>
            </w:r>
            <w:proofErr w:type="spellEnd"/>
            <w:r>
              <w:rPr>
                <w:rFonts w:ascii="Arial" w:hAnsi="Arial" w:cs="Arial"/>
                <w:sz w:val="28"/>
                <w:szCs w:val="28"/>
              </w:rPr>
              <w:t xml:space="preserve"> de Mango de </w:t>
            </w:r>
            <w:proofErr w:type="spellStart"/>
            <w:r>
              <w:rPr>
                <w:rFonts w:ascii="Arial" w:hAnsi="Arial" w:cs="Arial"/>
                <w:sz w:val="28"/>
                <w:szCs w:val="28"/>
              </w:rPr>
              <w:t>Exportacion</w:t>
            </w:r>
            <w:proofErr w:type="spellEnd"/>
            <w:r>
              <w:rPr>
                <w:rFonts w:ascii="Arial" w:hAnsi="Arial" w:cs="Arial"/>
                <w:sz w:val="28"/>
                <w:szCs w:val="28"/>
              </w:rPr>
              <w:t xml:space="preserve">. This represents about a 10% rise from last year's volumes during the same period at approximately 33 million boxes, reported </w:t>
            </w:r>
            <w:r>
              <w:rPr>
                <w:rFonts w:ascii="Arial" w:hAnsi="Arial" w:cs="Arial"/>
                <w:i/>
                <w:iCs/>
                <w:sz w:val="28"/>
                <w:szCs w:val="28"/>
              </w:rPr>
              <w:t xml:space="preserve">The Produce News. </w:t>
            </w:r>
            <w:hyperlink r:id="rId8" w:history="1">
              <w:r>
                <w:rPr>
                  <w:rFonts w:ascii="Arial" w:hAnsi="Arial" w:cs="Arial"/>
                  <w:b/>
                  <w:bCs/>
                  <w:color w:val="375372"/>
                  <w:sz w:val="28"/>
                  <w:szCs w:val="28"/>
                </w:rPr>
                <w:t>Full Story</w:t>
              </w:r>
            </w:hyperlink>
          </w:p>
          <w:p w:rsidR="009671F7" w:rsidRDefault="009671F7">
            <w:pPr>
              <w:widowControl w:val="0"/>
              <w:autoSpaceDE w:val="0"/>
              <w:autoSpaceDN w:val="0"/>
              <w:adjustRightInd w:val="0"/>
              <w:rPr>
                <w:rFonts w:ascii="Arial" w:hAnsi="Arial" w:cs="Arial"/>
                <w:b/>
                <w:bCs/>
                <w:sz w:val="28"/>
                <w:szCs w:val="28"/>
              </w:rPr>
            </w:pPr>
          </w:p>
          <w:p w:rsidR="009671F7" w:rsidRDefault="009671F7">
            <w:pPr>
              <w:widowControl w:val="0"/>
              <w:autoSpaceDE w:val="0"/>
              <w:autoSpaceDN w:val="0"/>
              <w:adjustRightInd w:val="0"/>
              <w:rPr>
                <w:rFonts w:ascii="Arial" w:hAnsi="Arial" w:cs="Arial"/>
                <w:sz w:val="28"/>
                <w:szCs w:val="28"/>
              </w:rPr>
            </w:pPr>
            <w:r>
              <w:rPr>
                <w:rFonts w:ascii="Arial" w:hAnsi="Arial" w:cs="Arial"/>
                <w:b/>
                <w:bCs/>
                <w:sz w:val="28"/>
                <w:szCs w:val="28"/>
              </w:rPr>
              <w:t>About 61 million bushels of fresh-market apples have yet to ship</w:t>
            </w:r>
            <w:r>
              <w:rPr>
                <w:rFonts w:ascii="Arial" w:hAnsi="Arial" w:cs="Arial"/>
                <w:sz w:val="28"/>
                <w:szCs w:val="28"/>
              </w:rPr>
              <w:t xml:space="preserve"> from the 2014-2015 crop, according to the U.S. Apple Association. This represents a 27% increase over last year. The 2015-2016 </w:t>
            </w:r>
            <w:proofErr w:type="gramStart"/>
            <w:r>
              <w:rPr>
                <w:rFonts w:ascii="Arial" w:hAnsi="Arial" w:cs="Arial"/>
                <w:sz w:val="28"/>
                <w:szCs w:val="28"/>
              </w:rPr>
              <w:t>crop</w:t>
            </w:r>
            <w:proofErr w:type="gramEnd"/>
            <w:r>
              <w:rPr>
                <w:rFonts w:ascii="Arial" w:hAnsi="Arial" w:cs="Arial"/>
                <w:sz w:val="28"/>
                <w:szCs w:val="28"/>
              </w:rPr>
              <w:t xml:space="preserve"> is running about two weeks ahead of schedule, reported </w:t>
            </w:r>
            <w:r>
              <w:rPr>
                <w:rFonts w:ascii="Arial" w:hAnsi="Arial" w:cs="Arial"/>
                <w:i/>
                <w:iCs/>
                <w:sz w:val="28"/>
                <w:szCs w:val="28"/>
              </w:rPr>
              <w:t xml:space="preserve">The Packer. </w:t>
            </w:r>
            <w:hyperlink r:id="rId9" w:history="1">
              <w:r>
                <w:rPr>
                  <w:rFonts w:ascii="Arial" w:hAnsi="Arial" w:cs="Arial"/>
                  <w:b/>
                  <w:bCs/>
                  <w:color w:val="375372"/>
                  <w:sz w:val="28"/>
                  <w:szCs w:val="28"/>
                </w:rPr>
                <w:t>Full Story</w:t>
              </w:r>
            </w:hyperlink>
          </w:p>
          <w:p w:rsidR="009671F7" w:rsidRDefault="009671F7">
            <w:pPr>
              <w:widowControl w:val="0"/>
              <w:autoSpaceDE w:val="0"/>
              <w:autoSpaceDN w:val="0"/>
              <w:adjustRightInd w:val="0"/>
              <w:rPr>
                <w:rFonts w:ascii="Arial" w:hAnsi="Arial" w:cs="Arial"/>
                <w:b/>
                <w:bCs/>
                <w:sz w:val="28"/>
                <w:szCs w:val="28"/>
              </w:rPr>
            </w:pPr>
          </w:p>
          <w:p w:rsidR="009671F7" w:rsidRDefault="009671F7">
            <w:pPr>
              <w:widowControl w:val="0"/>
              <w:autoSpaceDE w:val="0"/>
              <w:autoSpaceDN w:val="0"/>
              <w:adjustRightInd w:val="0"/>
              <w:rPr>
                <w:rFonts w:ascii="Arial" w:hAnsi="Arial" w:cs="Arial"/>
                <w:sz w:val="28"/>
                <w:szCs w:val="28"/>
              </w:rPr>
            </w:pPr>
            <w:r>
              <w:rPr>
                <w:rFonts w:ascii="Arial" w:hAnsi="Arial" w:cs="Arial"/>
                <w:b/>
                <w:bCs/>
                <w:sz w:val="28"/>
                <w:szCs w:val="28"/>
              </w:rPr>
              <w:t xml:space="preserve">Eastern U.S. poultry producers are bracing for the potential arrival of the avian flu </w:t>
            </w:r>
            <w:proofErr w:type="gramStart"/>
            <w:r>
              <w:rPr>
                <w:rFonts w:ascii="Arial" w:hAnsi="Arial" w:cs="Arial"/>
                <w:b/>
                <w:bCs/>
                <w:sz w:val="28"/>
                <w:szCs w:val="28"/>
              </w:rPr>
              <w:t>outbreak</w:t>
            </w:r>
            <w:r>
              <w:rPr>
                <w:rFonts w:ascii="Arial" w:hAnsi="Arial" w:cs="Arial"/>
                <w:sz w:val="28"/>
                <w:szCs w:val="28"/>
              </w:rPr>
              <w:t xml:space="preserve"> affecting</w:t>
            </w:r>
            <w:proofErr w:type="gramEnd"/>
            <w:r>
              <w:rPr>
                <w:rFonts w:ascii="Arial" w:hAnsi="Arial" w:cs="Arial"/>
                <w:sz w:val="28"/>
                <w:szCs w:val="28"/>
              </w:rPr>
              <w:t xml:space="preserve"> farmers in the Midwest. The fear is the virus is already somewhere undetected in the Atlantic Flyway and could spread this fall when wild ducks fly south for the winter. The Atlantic Flyway includes several of the country's top poultry producing states such as Georgia, the Carolinas, Virginia, Delaware and Maryland, reported</w:t>
            </w:r>
            <w:r>
              <w:rPr>
                <w:rFonts w:ascii="Arial" w:hAnsi="Arial" w:cs="Arial"/>
                <w:i/>
                <w:iCs/>
                <w:sz w:val="28"/>
                <w:szCs w:val="28"/>
              </w:rPr>
              <w:t xml:space="preserve"> Minneapolis Star Tribune</w:t>
            </w:r>
            <w:r>
              <w:rPr>
                <w:rFonts w:ascii="Arial" w:hAnsi="Arial" w:cs="Arial"/>
                <w:sz w:val="28"/>
                <w:szCs w:val="28"/>
              </w:rPr>
              <w:t xml:space="preserve">. </w:t>
            </w:r>
            <w:hyperlink r:id="rId10" w:history="1">
              <w:r>
                <w:rPr>
                  <w:rFonts w:ascii="Arial" w:hAnsi="Arial" w:cs="Arial"/>
                  <w:b/>
                  <w:bCs/>
                  <w:color w:val="375372"/>
                  <w:sz w:val="28"/>
                  <w:szCs w:val="28"/>
                </w:rPr>
                <w:t>Full Story</w:t>
              </w:r>
            </w:hyperlink>
          </w:p>
          <w:p w:rsidR="009671F7" w:rsidRDefault="009671F7">
            <w:pPr>
              <w:widowControl w:val="0"/>
              <w:autoSpaceDE w:val="0"/>
              <w:autoSpaceDN w:val="0"/>
              <w:adjustRightInd w:val="0"/>
              <w:rPr>
                <w:rFonts w:ascii="Arial" w:hAnsi="Arial" w:cs="Arial"/>
                <w:b/>
                <w:bCs/>
                <w:sz w:val="28"/>
                <w:szCs w:val="28"/>
              </w:rPr>
            </w:pPr>
          </w:p>
          <w:p w:rsidR="009671F7" w:rsidRDefault="009671F7">
            <w:pPr>
              <w:widowControl w:val="0"/>
              <w:autoSpaceDE w:val="0"/>
              <w:autoSpaceDN w:val="0"/>
              <w:adjustRightInd w:val="0"/>
              <w:rPr>
                <w:rFonts w:ascii="Arial" w:hAnsi="Arial" w:cs="Arial"/>
                <w:sz w:val="28"/>
                <w:szCs w:val="28"/>
              </w:rPr>
            </w:pPr>
            <w:r>
              <w:rPr>
                <w:rFonts w:ascii="Arial" w:hAnsi="Arial" w:cs="Arial"/>
                <w:b/>
                <w:bCs/>
                <w:sz w:val="28"/>
                <w:szCs w:val="28"/>
              </w:rPr>
              <w:t>Florida's stone crab population is dwindling</w:t>
            </w:r>
            <w:r>
              <w:rPr>
                <w:rFonts w:ascii="Arial" w:hAnsi="Arial" w:cs="Arial"/>
                <w:sz w:val="28"/>
                <w:szCs w:val="28"/>
              </w:rPr>
              <w:t xml:space="preserve">. Only 1.9 million-lbs. of claws </w:t>
            </w:r>
            <w:proofErr w:type="gramStart"/>
            <w:r>
              <w:rPr>
                <w:rFonts w:ascii="Arial" w:hAnsi="Arial" w:cs="Arial"/>
                <w:sz w:val="28"/>
                <w:szCs w:val="28"/>
              </w:rPr>
              <w:t>were</w:t>
            </w:r>
            <w:proofErr w:type="gramEnd"/>
            <w:r>
              <w:rPr>
                <w:rFonts w:ascii="Arial" w:hAnsi="Arial" w:cs="Arial"/>
                <w:sz w:val="28"/>
                <w:szCs w:val="28"/>
              </w:rPr>
              <w:t xml:space="preserve"> landed in the 2013-2014 season, the lowest since the decrease started 15 years ago. The price for one pound of claws can run from $17 to $43 per pound due to tight supply, reported </w:t>
            </w:r>
            <w:r>
              <w:rPr>
                <w:rFonts w:ascii="Arial" w:hAnsi="Arial" w:cs="Arial"/>
                <w:i/>
                <w:iCs/>
                <w:sz w:val="28"/>
                <w:szCs w:val="28"/>
              </w:rPr>
              <w:t>The Miami Herald</w:t>
            </w:r>
            <w:r>
              <w:rPr>
                <w:rFonts w:ascii="Arial" w:hAnsi="Arial" w:cs="Arial"/>
                <w:sz w:val="28"/>
                <w:szCs w:val="28"/>
              </w:rPr>
              <w:t xml:space="preserve">. </w:t>
            </w:r>
            <w:hyperlink r:id="rId11" w:history="1">
              <w:r>
                <w:rPr>
                  <w:rFonts w:ascii="Arial" w:hAnsi="Arial" w:cs="Arial"/>
                  <w:b/>
                  <w:bCs/>
                  <w:color w:val="375372"/>
                  <w:sz w:val="28"/>
                  <w:szCs w:val="28"/>
                </w:rPr>
                <w:t>Full Story</w:t>
              </w:r>
            </w:hyperlink>
          </w:p>
          <w:p w:rsidR="009671F7" w:rsidRDefault="009671F7">
            <w:pPr>
              <w:widowControl w:val="0"/>
              <w:autoSpaceDE w:val="0"/>
              <w:autoSpaceDN w:val="0"/>
              <w:adjustRightInd w:val="0"/>
              <w:rPr>
                <w:rFonts w:ascii="Arial" w:hAnsi="Arial" w:cs="Arial"/>
                <w:b/>
                <w:bCs/>
                <w:sz w:val="28"/>
                <w:szCs w:val="28"/>
              </w:rPr>
            </w:pPr>
          </w:p>
          <w:p w:rsidR="009671F7" w:rsidRDefault="009671F7">
            <w:pPr>
              <w:widowControl w:val="0"/>
              <w:autoSpaceDE w:val="0"/>
              <w:autoSpaceDN w:val="0"/>
              <w:adjustRightInd w:val="0"/>
              <w:rPr>
                <w:rFonts w:ascii="Arial" w:hAnsi="Arial" w:cs="Arial"/>
                <w:sz w:val="28"/>
                <w:szCs w:val="28"/>
              </w:rPr>
            </w:pPr>
            <w:r>
              <w:rPr>
                <w:rFonts w:ascii="Arial" w:hAnsi="Arial" w:cs="Arial"/>
                <w:b/>
                <w:bCs/>
                <w:sz w:val="28"/>
                <w:szCs w:val="28"/>
              </w:rPr>
              <w:t>California's 2014 table-type grape acreage totaled 121,000 acres</w:t>
            </w:r>
            <w:r>
              <w:rPr>
                <w:rFonts w:ascii="Arial" w:hAnsi="Arial" w:cs="Arial"/>
                <w:sz w:val="28"/>
                <w:szCs w:val="28"/>
              </w:rPr>
              <w:t xml:space="preserve"> with 110,000 bearing and 11,000 nonbearing acres. Raisin-type grapes totaled 192,000 acres with 190,000 bearing and 2,000 </w:t>
            </w:r>
            <w:proofErr w:type="gramStart"/>
            <w:r>
              <w:rPr>
                <w:rFonts w:ascii="Arial" w:hAnsi="Arial" w:cs="Arial"/>
                <w:sz w:val="28"/>
                <w:szCs w:val="28"/>
              </w:rPr>
              <w:t>nonbearing</w:t>
            </w:r>
            <w:proofErr w:type="gramEnd"/>
            <w:r>
              <w:rPr>
                <w:rFonts w:ascii="Arial" w:hAnsi="Arial" w:cs="Arial"/>
                <w:sz w:val="28"/>
                <w:szCs w:val="28"/>
              </w:rPr>
              <w:t xml:space="preserve">. Flame seedless was the leading table-type grape variety while Thompson Seedless was the leading variety utilized for raisins, fresh market and concentrate, according to the California Department of Food and Agriculture. </w:t>
            </w:r>
            <w:hyperlink r:id="rId12" w:history="1">
              <w:r>
                <w:rPr>
                  <w:rFonts w:ascii="Arial" w:hAnsi="Arial" w:cs="Arial"/>
                  <w:b/>
                  <w:bCs/>
                  <w:color w:val="375372"/>
                  <w:sz w:val="28"/>
                  <w:szCs w:val="28"/>
                </w:rPr>
                <w:t>Full Story</w:t>
              </w:r>
            </w:hyperlink>
          </w:p>
          <w:p w:rsidR="009671F7" w:rsidRDefault="009671F7">
            <w:pPr>
              <w:widowControl w:val="0"/>
              <w:autoSpaceDE w:val="0"/>
              <w:autoSpaceDN w:val="0"/>
              <w:adjustRightInd w:val="0"/>
              <w:rPr>
                <w:rFonts w:ascii="Arial" w:hAnsi="Arial" w:cs="Arial"/>
                <w:sz w:val="28"/>
                <w:szCs w:val="28"/>
              </w:rPr>
            </w:pPr>
          </w:p>
          <w:p w:rsidR="009671F7" w:rsidRDefault="009671F7">
            <w:pPr>
              <w:widowControl w:val="0"/>
              <w:autoSpaceDE w:val="0"/>
              <w:autoSpaceDN w:val="0"/>
              <w:adjustRightInd w:val="0"/>
              <w:rPr>
                <w:rFonts w:ascii="Arial" w:hAnsi="Arial" w:cs="Arial"/>
                <w:sz w:val="28"/>
                <w:szCs w:val="28"/>
              </w:rPr>
            </w:pPr>
            <w:r>
              <w:rPr>
                <w:rFonts w:ascii="Arial" w:hAnsi="Arial" w:cs="Arial"/>
                <w:b/>
                <w:bCs/>
                <w:sz w:val="28"/>
                <w:szCs w:val="28"/>
              </w:rPr>
              <w:t>Florida citrus officials made progress in establishing a federal program to promote orange juice</w:t>
            </w:r>
            <w:r>
              <w:rPr>
                <w:rFonts w:ascii="Arial" w:hAnsi="Arial" w:cs="Arial"/>
                <w:sz w:val="28"/>
                <w:szCs w:val="28"/>
              </w:rPr>
              <w:t xml:space="preserve"> without resolving two key issues. A federal marketing program would include a tax on imported orange juice, but any money a federal program collects could not be used to just promote Florida's orange juice brand. The other issues that the tax would be paid by the "importer of record," which could be the Florida processor purchasing the juice or a company at the country of origin, reported</w:t>
            </w:r>
            <w:r>
              <w:rPr>
                <w:rFonts w:ascii="Arial" w:hAnsi="Arial" w:cs="Arial"/>
                <w:i/>
                <w:iCs/>
                <w:sz w:val="28"/>
                <w:szCs w:val="28"/>
              </w:rPr>
              <w:t xml:space="preserve"> The Ledger</w:t>
            </w:r>
            <w:r>
              <w:rPr>
                <w:rFonts w:ascii="Arial" w:hAnsi="Arial" w:cs="Arial"/>
                <w:sz w:val="28"/>
                <w:szCs w:val="28"/>
              </w:rPr>
              <w:t xml:space="preserve">. </w:t>
            </w:r>
            <w:hyperlink r:id="rId13" w:history="1">
              <w:r>
                <w:rPr>
                  <w:rFonts w:ascii="Arial" w:hAnsi="Arial" w:cs="Arial"/>
                  <w:b/>
                  <w:bCs/>
                  <w:color w:val="375372"/>
                  <w:sz w:val="28"/>
                  <w:szCs w:val="28"/>
                </w:rPr>
                <w:t>Full Story</w:t>
              </w:r>
            </w:hyperlink>
          </w:p>
          <w:p w:rsidR="009671F7" w:rsidRDefault="009671F7">
            <w:pPr>
              <w:widowControl w:val="0"/>
              <w:autoSpaceDE w:val="0"/>
              <w:autoSpaceDN w:val="0"/>
              <w:adjustRightInd w:val="0"/>
              <w:rPr>
                <w:rFonts w:ascii="Arial" w:hAnsi="Arial" w:cs="Arial"/>
                <w:b/>
                <w:bCs/>
                <w:sz w:val="28"/>
                <w:szCs w:val="28"/>
              </w:rPr>
            </w:pPr>
          </w:p>
          <w:p w:rsidR="009671F7" w:rsidRDefault="009671F7">
            <w:pPr>
              <w:widowControl w:val="0"/>
              <w:autoSpaceDE w:val="0"/>
              <w:autoSpaceDN w:val="0"/>
              <w:adjustRightInd w:val="0"/>
              <w:rPr>
                <w:rFonts w:ascii="Arial" w:hAnsi="Arial" w:cs="Arial"/>
                <w:sz w:val="28"/>
                <w:szCs w:val="28"/>
              </w:rPr>
            </w:pPr>
            <w:r>
              <w:rPr>
                <w:rFonts w:ascii="Arial" w:hAnsi="Arial" w:cs="Arial"/>
                <w:b/>
                <w:bCs/>
                <w:sz w:val="28"/>
                <w:szCs w:val="28"/>
              </w:rPr>
              <w:t xml:space="preserve">NOAA removed gag grouper of the Gulf of Mexico and the North Atlantic albacore </w:t>
            </w:r>
            <w:r>
              <w:rPr>
                <w:rFonts w:ascii="Arial" w:hAnsi="Arial" w:cs="Arial"/>
                <w:sz w:val="28"/>
                <w:szCs w:val="28"/>
              </w:rPr>
              <w:t xml:space="preserve">from its overfished list. The agency also is taking the Gulf of Maine haddock, the South Atlantic gag grouper, the western Atlantic Bluefin tuna, the snowy grouper of the South Atlantic coast and the jacks of the Gulf of Mexico stocks off of the overfishing list, reported </w:t>
            </w:r>
            <w:r>
              <w:rPr>
                <w:rFonts w:ascii="Arial" w:hAnsi="Arial" w:cs="Arial"/>
                <w:i/>
                <w:iCs/>
                <w:sz w:val="28"/>
                <w:szCs w:val="28"/>
              </w:rPr>
              <w:t>The State</w:t>
            </w:r>
            <w:r>
              <w:rPr>
                <w:rFonts w:ascii="Arial" w:hAnsi="Arial" w:cs="Arial"/>
                <w:sz w:val="28"/>
                <w:szCs w:val="28"/>
              </w:rPr>
              <w:t xml:space="preserve">. </w:t>
            </w:r>
            <w:hyperlink r:id="rId14" w:history="1">
              <w:r>
                <w:rPr>
                  <w:rFonts w:ascii="Arial" w:hAnsi="Arial" w:cs="Arial"/>
                  <w:b/>
                  <w:bCs/>
                  <w:color w:val="375372"/>
                  <w:sz w:val="28"/>
                  <w:szCs w:val="28"/>
                </w:rPr>
                <w:t>Full Story</w:t>
              </w:r>
            </w:hyperlink>
            <w:r>
              <w:rPr>
                <w:rFonts w:ascii="Arial" w:hAnsi="Arial" w:cs="Arial"/>
                <w:sz w:val="28"/>
                <w:szCs w:val="28"/>
              </w:rPr>
              <w:t xml:space="preserve">, </w:t>
            </w:r>
            <w:hyperlink r:id="rId15" w:history="1">
              <w:r>
                <w:rPr>
                  <w:rFonts w:ascii="Arial" w:hAnsi="Arial" w:cs="Arial"/>
                  <w:b/>
                  <w:bCs/>
                  <w:color w:val="375372"/>
                  <w:sz w:val="28"/>
                  <w:szCs w:val="28"/>
                </w:rPr>
                <w:t>Full Report</w:t>
              </w:r>
            </w:hyperlink>
          </w:p>
        </w:tc>
      </w:tr>
    </w:tbl>
    <w:p w:rsidR="00EA1C84" w:rsidRDefault="00EA1C84"/>
    <w:sectPr w:rsidR="00EA1C84" w:rsidSect="0087498E">
      <w:pgSz w:w="12240" w:h="15840"/>
      <w:pgMar w:top="1080" w:right="1440" w:bottom="108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1F7"/>
    <w:rsid w:val="000822BD"/>
    <w:rsid w:val="003E2D95"/>
    <w:rsid w:val="0068200F"/>
    <w:rsid w:val="00793820"/>
    <w:rsid w:val="007C1788"/>
    <w:rsid w:val="0087498E"/>
    <w:rsid w:val="009671F7"/>
    <w:rsid w:val="00AB08A4"/>
    <w:rsid w:val="00AD6B8F"/>
    <w:rsid w:val="00BE639D"/>
    <w:rsid w:val="00C41C42"/>
    <w:rsid w:val="00DE2F94"/>
    <w:rsid w:val="00DE3287"/>
    <w:rsid w:val="00EA1C84"/>
    <w:rsid w:val="00F346B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91D1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71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71F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71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71F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r20.rs6.net/tn.jsp?f=001PLLTGJkfKIOsTF9s8QEm7FsKuyUehn2QZ0vrioz_f0-xmBexyt6-UhWeBz-BHvDiRixOw6EAWUyq6wzU_q0hQkxCO_hWq4mK0ldZ98lrXgGUxwNrVlmFgGXu4ewYRNXwKe89bSLKvN6oY6cf8WKTrZqfNcjDRoACCN_9WMiHCLvAE3PPaFXMKegeFqSbxbMouxqT_c-iDEnmXNNHTCaMP5QjTrDvfr1U&amp;c=5D8l-Nv_XoiIzigk3FbZBxQIaAGDlrZR2l3FLDzSeSVTRgOHyVTIyA==&amp;ch=LJ68wwyq2LgMPd28KmaOdNle2o_TcU6uklJ3drJhki-ug5yNvQtfdQ==" TargetMode="External"/><Relationship Id="rId12" Type="http://schemas.openxmlformats.org/officeDocument/2006/relationships/hyperlink" Target="http://r20.rs6.net/tn.jsp?f=001PLLTGJkfKIOsTF9s8QEm7FsKuyUehn2QZ0vrioz_f0-xmBexyt6-UhWeBz-BHvDirfNPLQsjj0AzsRGmbI-kO04iWrwBEhfykmSp8oXXfmsvGFfGtbS5pVxiD5kxMWL6rsI1bGxNGCqEZPYHtvtr8Az_ancgihWr5Cax4tstyLUyiZvAiWNMYVMlVgByIDzMRccQDu2Jgxc8lESIDtGhDh8zHRA365Izn56kGALhyJCMzy_JuL_pvoXrJGU_T5MC74DV2n8ZL7TZnJelDWJMkMYNgeOuAJab&amp;c=5D8l-Nv_XoiIzigk3FbZBxQIaAGDlrZR2l3FLDzSeSVTRgOHyVTIyA==&amp;ch=LJ68wwyq2LgMPd28KmaOdNle2o_TcU6uklJ3drJhki-ug5yNvQtfdQ==" TargetMode="External"/><Relationship Id="rId13" Type="http://schemas.openxmlformats.org/officeDocument/2006/relationships/hyperlink" Target="http://r20.rs6.net/tn.jsp?f=001PLLTGJkfKIOsTF9s8QEm7FsKuyUehn2QZ0vrioz_f0-xmBexyt6-UhWeBz-BHvDiFhSNXz6btdYA4Np5NCYvqJ1tDWsyV_yyrh29d-YQISL6EcEqgsv9ENW48CA96ZMls0CyMqOU9wAA3A3rN-Eui8vl_yFdUC2wUTGK3x91GCdmmsOwtSD5Vp1Za8E26gGwAmwqt9WogtfMYTiHLvd3LXiAb1EyA7fS&amp;c=5D8l-Nv_XoiIzigk3FbZBxQIaAGDlrZR2l3FLDzSeSVTRgOHyVTIyA==&amp;ch=LJ68wwyq2LgMPd28KmaOdNle2o_TcU6uklJ3drJhki-ug5yNvQtfdQ==" TargetMode="External"/><Relationship Id="rId14" Type="http://schemas.openxmlformats.org/officeDocument/2006/relationships/hyperlink" Target="http://r20.rs6.net/tn.jsp?f=001PLLTGJkfKIOsTF9s8QEm7FsKuyUehn2QZ0vrioz_f0-xmBexyt6-UhWeBz-BHvDiBgd86ynm0IQgP41BkEftcx86jE3jCXYcdfepRshON7RIxH9xO0mrcd2zJqVYrZAaArwTuZDzJBr2dbNOjs97r_I7KA3iJsZFcuctwMnYjxMPp1KTqnBXtr2QVz_4FykxxmveVg3f3ZwjUz4xD5mClUZ2vtvqk1Pwdr5ipLcCTGWPV8VWuV9uGiYLJ4CdeSAPxbMJmlOcXB1vVR8c8jHzEw==&amp;c=5D8l-Nv_XoiIzigk3FbZBxQIaAGDlrZR2l3FLDzSeSVTRgOHyVTIyA==&amp;ch=LJ68wwyq2LgMPd28KmaOdNle2o_TcU6uklJ3drJhki-ug5yNvQtfdQ==" TargetMode="External"/><Relationship Id="rId15" Type="http://schemas.openxmlformats.org/officeDocument/2006/relationships/hyperlink" Target="http://r20.rs6.net/tn.jsp?f=001PLLTGJkfKIOsTF9s8QEm7FsKuyUehn2QZ0vrioz_f0-xmBexyt6-UhWeBz-BHvDivCjrwlOxECEQsu1qI_rOsSqWW52B36PT2151OutGiX72EUOxztV_ocQXPtUOAxHFzWZzdtv5aWyUWeBfO_jFqw3cHNm8TI-UdXNlCGK3wxr6oYt94bo-0g2dR4bETb9W4cUYqLufmtuwqgKxKve3igXqL_2YlG_M0LgUcKNdNPWfG0d2X8sSoE37bfqi3yiPvFA85UPyN22fC36gawFOhv_7lr5tLLDgzhT7e86jiHsdHf7_PhZDHDJ2Q5BCnkgr_R1qdTkl_mk=&amp;c=5D8l-Nv_XoiIzigk3FbZBxQIaAGDlrZR2l3FLDzSeSVTRgOHyVTIyA==&amp;ch=LJ68wwyq2LgMPd28KmaOdNle2o_TcU6uklJ3drJhki-ug5yNvQtfdQ=="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r20.rs6.net/tn.jsp?f=001PLLTGJkfKIOsTF9s8QEm7FsKuyUehn2QZ0vrioz_f0-xmBexyt6-UhWeBz-BHvDiVf9FyKeM8mb3foL6uCjkzX0v-lGOv5lkE9cTjCHGFg3cZcHZRxKq_Yor8SJ86u1awJjXhG_jc79LySWSoCrjYSk5Y1JHWWBu3a0pUg4p2mxM77VqLyUCEnfY4FS8EhhFOGC2bTVpQThVtiN6V51sTT6kNrHeexdh_lLE2n3OCwB7ZGH14CMhNdCqZ4S6zCcaMJ23LKvAecB98rllaNqGsyWlDTKMUXpugY31KARGr1LtDPjMf45-rw==&amp;c=5D8l-Nv_XoiIzigk3FbZBxQIaAGDlrZR2l3FLDzSeSVTRgOHyVTIyA==&amp;ch=LJ68wwyq2LgMPd28KmaOdNle2o_TcU6uklJ3drJhki-ug5yNvQtfdQ==" TargetMode="External"/><Relationship Id="rId7" Type="http://schemas.openxmlformats.org/officeDocument/2006/relationships/hyperlink" Target="http://r20.rs6.net/tn.jsp?f=001PLLTGJkfKIOsTF9s8QEm7FsKuyUehn2QZ0vrioz_f0-xmBexyt6-UhWeBz-BHvDia3pbZtrJTe7HMNjP2SLAESg8Nt-hrh_TPokXMncowWMdkyltrzxSO-yJ-kDhjRMfj9RAPylCZ_Yug1US2X0qDoCMNGyphDa6jIY4Ee5w0gc4N2tB_r_uzZiBRaK6xXKeuJ1q5ssl_rDGgAJWftYSRyGOY-08HBW_ia6Kgf1N8BYmk-WjgneAI_TOnCs6wWty&amp;c=5D8l-Nv_XoiIzigk3FbZBxQIaAGDlrZR2l3FLDzSeSVTRgOHyVTIyA==&amp;ch=LJ68wwyq2LgMPd28KmaOdNle2o_TcU6uklJ3drJhki-ug5yNvQtfdQ==" TargetMode="External"/><Relationship Id="rId8" Type="http://schemas.openxmlformats.org/officeDocument/2006/relationships/hyperlink" Target="http://r20.rs6.net/tn.jsp?f=001PLLTGJkfKIOsTF9s8QEm7FsKuyUehn2QZ0vrioz_f0-xmBexyt6-UhWeBz-BHvDiVmsdQShk-AaFjJjOsN8H_6kU0TS6GjeReChy4Io9LwSwZikHYILv9o3Qozb9f6YV5Cqr1NsFXhtcORn8XuWfEKCfrloMJpilEwnY-v9LuXzdq_9PvaI74RNVRQF8evdj8wuqpCtew2Ge0fz9obj9WqNw_dg23QdLof2H_206miilsaSu3IrCOtH2G4xPTd7X9myyrViDQBMRYI6K3iZyzKB2X6U4c3ii&amp;c=5D8l-Nv_XoiIzigk3FbZBxQIaAGDlrZR2l3FLDzSeSVTRgOHyVTIyA==&amp;ch=LJ68wwyq2LgMPd28KmaOdNle2o_TcU6uklJ3drJhki-ug5yNvQtfdQ==" TargetMode="External"/><Relationship Id="rId9" Type="http://schemas.openxmlformats.org/officeDocument/2006/relationships/hyperlink" Target="http://r20.rs6.net/tn.jsp?f=001PLLTGJkfKIOsTF9s8QEm7FsKuyUehn2QZ0vrioz_f0-xmBexyt6-UhWeBz-BHvDiJ3jjXFSZsg-ot2IofMmi3S9zM-xepwV-qBULx8_TBk13fAj7E4LUcTtRPVYa7bGWafjOrncsW0Lv9P7TNxZ3Zmy7tSJ6riRxRqfMnPSCG0LR2ZH3yQPHYYwQO9gyx3nsNARobpkBLUepfQgsHLxKVkn_jLNQ0pmbtt3822wNDEizxp_RovjwVw==&amp;c=5D8l-Nv_XoiIzigk3FbZBxQIaAGDlrZR2l3FLDzSeSVTRgOHyVTIyA==&amp;ch=LJ68wwyq2LgMPd28KmaOdNle2o_TcU6uklJ3drJhki-ug5yNvQtfdQ==" TargetMode="External"/><Relationship Id="rId10" Type="http://schemas.openxmlformats.org/officeDocument/2006/relationships/hyperlink" Target="http://r20.rs6.net/tn.jsp?f=001PLLTGJkfKIOsTF9s8QEm7FsKuyUehn2QZ0vrioz_f0-xmBexyt6-UhWeBz-BHvDiCm7qTEQhLvfo3OY0RgVL5a6pmtJG4bK_pRNJuzppt9CpzoqwIG7m6J22YXP_Lkw01mdDT271tZcdvibC1W-m-bOKtMhls-9JFljPQHWmOSr2QQd7ug8XtJJ7hxJtpWhBstpBJlM4F9FGsf2p9G6J1Su30YkRAxEP&amp;c=5D8l-Nv_XoiIzigk3FbZBxQIaAGDlrZR2l3FLDzSeSVTRgOHyVTIyA==&amp;ch=LJ68wwyq2LgMPd28KmaOdNle2o_TcU6uklJ3drJhki-ug5yNvQtfd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1142</Words>
  <Characters>6515</Characters>
  <Application>Microsoft Macintosh Word</Application>
  <DocSecurity>0</DocSecurity>
  <Lines>54</Lines>
  <Paragraphs>15</Paragraphs>
  <ScaleCrop>false</ScaleCrop>
  <Company>Company S. Sherman Associates</Company>
  <LinksUpToDate>false</LinksUpToDate>
  <CharactersWithSpaces>7642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sherman</dc:creator>
  <cp:keywords/>
  <dc:description/>
  <cp:lastModifiedBy>stuart  sherman</cp:lastModifiedBy>
  <cp:revision>1</cp:revision>
  <dcterms:created xsi:type="dcterms:W3CDTF">2015-04-16T20:47:00Z</dcterms:created>
  <dcterms:modified xsi:type="dcterms:W3CDTF">2015-04-16T20:48:00Z</dcterms:modified>
</cp:coreProperties>
</file>