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AEB" w:rsidRPr="002611EB" w:rsidRDefault="00415175" w:rsidP="00866AEB">
      <w:pPr>
        <w:tabs>
          <w:tab w:val="left" w:pos="10080"/>
        </w:tabs>
        <w:spacing w:after="120"/>
        <w:ind w:left="720" w:right="-7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4380865</wp:posOffset>
                </wp:positionH>
                <wp:positionV relativeFrom="paragraph">
                  <wp:posOffset>-43180</wp:posOffset>
                </wp:positionV>
                <wp:extent cx="2000250" cy="292100"/>
                <wp:effectExtent l="13335" t="13970" r="15240" b="1778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BA4" w:rsidRPr="002611EB" w:rsidRDefault="00127BA4" w:rsidP="00866AE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OCTOBER 18</w:t>
                            </w:r>
                            <w:r w:rsidRPr="002611EB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, 2012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344.95pt;margin-top:-3.4pt;width:157.5pt;height:2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" strokecolor="white" strokeweight="2pt">
                <v:textbox inset="1pt,1pt,1pt,1pt">
                  <w:txbxContent>
                    <w:p w:rsidR="00127BA4" w:rsidRPr="002611EB" w:rsidRDefault="00127BA4" w:rsidP="00866AEB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>OCTOBER 18</w:t>
                      </w:r>
                      <w:r w:rsidRPr="002611EB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>, 2012</w:t>
                      </w:r>
                    </w:p>
                  </w:txbxContent>
                </v:textbox>
              </v:rect>
            </w:pict>
          </mc:Fallback>
        </mc:AlternateContent>
      </w:r>
      <w:r w:rsidR="00866AEB" w:rsidRPr="002611EB">
        <w:rPr>
          <w:rFonts w:ascii="Times New Roman" w:hAnsi="Times New Roman" w:cs="Times New Roman"/>
          <w:b/>
          <w:sz w:val="28"/>
          <w:szCs w:val="28"/>
        </w:rPr>
        <w:t>Weekly Market Highlights</w:t>
      </w:r>
    </w:p>
    <w:p w:rsidR="00127BA4" w:rsidRPr="00127BA4" w:rsidRDefault="00127BA4" w:rsidP="00127BA4">
      <w:pPr>
        <w:pStyle w:val="FFbullets"/>
        <w:tabs>
          <w:tab w:val="left" w:pos="1260"/>
          <w:tab w:val="left" w:pos="10080"/>
        </w:tabs>
        <w:ind w:left="1260" w:right="-7"/>
      </w:pPr>
      <w:r w:rsidRPr="00127BA4">
        <w:t xml:space="preserve">This week wheat futures and basis premium prices continued to trade in </w:t>
      </w:r>
      <w:r>
        <w:t xml:space="preserve">the fairly narrow range they have </w:t>
      </w:r>
      <w:r w:rsidRPr="00127BA4">
        <w:t>occupied for nearly ninety days now.</w:t>
      </w:r>
    </w:p>
    <w:p w:rsidR="00127BA4" w:rsidRPr="00127BA4" w:rsidRDefault="00127BA4" w:rsidP="00127BA4">
      <w:pPr>
        <w:pStyle w:val="FFbullets"/>
        <w:tabs>
          <w:tab w:val="left" w:pos="1260"/>
          <w:tab w:val="left" w:pos="10080"/>
        </w:tabs>
        <w:ind w:left="1260" w:right="-7"/>
      </w:pPr>
      <w:r w:rsidRPr="00127BA4">
        <w:t>Producers and elevators are preoccupied with the row crop harvest</w:t>
      </w:r>
      <w:r>
        <w:t xml:space="preserve">. </w:t>
      </w:r>
      <w:r w:rsidRPr="00127BA4">
        <w:t>Slow movement of wheat to market supports the basis near current levels.</w:t>
      </w:r>
    </w:p>
    <w:p w:rsidR="00127BA4" w:rsidRPr="00127BA4" w:rsidRDefault="00127BA4" w:rsidP="00127BA4">
      <w:pPr>
        <w:pStyle w:val="FFbullets"/>
        <w:tabs>
          <w:tab w:val="left" w:pos="1260"/>
          <w:tab w:val="left" w:pos="10080"/>
        </w:tabs>
        <w:ind w:left="1260" w:right="-7"/>
      </w:pPr>
      <w:r w:rsidRPr="00127BA4">
        <w:t>U.S. wheat exports have been smaller than anticipated, but U.S. wheat prices compared to European markets may be improving</w:t>
      </w:r>
      <w:r>
        <w:t xml:space="preserve">. </w:t>
      </w:r>
      <w:r w:rsidRPr="00127BA4">
        <w:t>A significant increase in export could support a rally in futures prices.</w:t>
      </w:r>
    </w:p>
    <w:p w:rsidR="00866AEB" w:rsidRDefault="00127BA4" w:rsidP="00866AEB">
      <w:pPr>
        <w:pStyle w:val="FFbullets"/>
        <w:tabs>
          <w:tab w:val="left" w:pos="1260"/>
          <w:tab w:val="left" w:pos="10080"/>
        </w:tabs>
        <w:ind w:left="1260" w:right="-7"/>
      </w:pPr>
      <w:r w:rsidRPr="00127BA4">
        <w:t>Rain was welcomed by most with the exception of U.S. baseball playoff fans</w:t>
      </w:r>
      <w:r>
        <w:t xml:space="preserve">. </w:t>
      </w:r>
      <w:r w:rsidRPr="00127BA4">
        <w:t xml:space="preserve">Improved prospects for the 2013 winter wheat crop are very welcome news after this year’s widespread drought conditions. </w:t>
      </w:r>
    </w:p>
    <w:p w:rsidR="00866AEB" w:rsidRPr="004E087E" w:rsidRDefault="00866AEB" w:rsidP="00866AEB">
      <w:pPr>
        <w:pBdr>
          <w:bottom w:val="single" w:sz="12" w:space="1" w:color="auto"/>
        </w:pBdr>
        <w:tabs>
          <w:tab w:val="left" w:pos="10080"/>
        </w:tabs>
        <w:autoSpaceDE w:val="0"/>
        <w:autoSpaceDN w:val="0"/>
        <w:adjustRightInd w:val="0"/>
        <w:ind w:left="720" w:right="-7"/>
        <w:rPr>
          <w:color w:val="000000"/>
          <w:sz w:val="20"/>
        </w:rPr>
      </w:pPr>
    </w:p>
    <w:p w:rsidR="00866AEB" w:rsidRDefault="00866AEB" w:rsidP="00866AEB">
      <w:pPr>
        <w:pStyle w:val="Heading7"/>
        <w:tabs>
          <w:tab w:val="left" w:pos="10080"/>
        </w:tabs>
        <w:spacing w:before="120"/>
        <w:ind w:right="-7"/>
        <w:rPr>
          <w:bCs/>
          <w:szCs w:val="28"/>
        </w:rPr>
      </w:pPr>
      <w:r w:rsidRPr="00B554FE">
        <w:rPr>
          <w:bCs/>
          <w:szCs w:val="28"/>
        </w:rPr>
        <w:t>Facts on Flour</w:t>
      </w:r>
    </w:p>
    <w:p w:rsidR="00127BA4" w:rsidRDefault="00127BA4" w:rsidP="00127BA4">
      <w:pPr>
        <w:pStyle w:val="FFFOFHeadline"/>
        <w:tabs>
          <w:tab w:val="left" w:pos="10080"/>
        </w:tabs>
        <w:ind w:left="630" w:right="-7"/>
        <w:rPr>
          <w:u w:val="single"/>
        </w:rPr>
      </w:pPr>
      <w:r>
        <w:t xml:space="preserve">Flour Protein   </w:t>
      </w:r>
    </w:p>
    <w:p w:rsidR="00127BA4" w:rsidRPr="00127BA4" w:rsidRDefault="00127BA4" w:rsidP="00127BA4">
      <w:pPr>
        <w:pStyle w:val="FFFOFHeadline"/>
        <w:tabs>
          <w:tab w:val="left" w:pos="10080"/>
        </w:tabs>
        <w:spacing w:after="0"/>
        <w:ind w:left="630" w:right="-7" w:firstLine="176"/>
        <w:rPr>
          <w:b w:val="0"/>
          <w:sz w:val="20"/>
        </w:rPr>
      </w:pPr>
      <w:r w:rsidRPr="00127BA4">
        <w:rPr>
          <w:b w:val="0"/>
          <w:sz w:val="20"/>
        </w:rPr>
        <w:t>Gluten is developed from flour protein. When combined with water under mixing stress, the proteins in the flour will form gluten, which provides extensibility, elasticity and gas-retaining properties to yeast-leavened baked goods. The quantity of gluten is proportionate to the amount of protein in the flour, so gluten increases as the protein content increases.</w:t>
      </w:r>
    </w:p>
    <w:p w:rsidR="00127BA4" w:rsidRPr="00127BA4" w:rsidRDefault="00127BA4" w:rsidP="00127BA4">
      <w:pPr>
        <w:pStyle w:val="FFFOFHeadline"/>
        <w:tabs>
          <w:tab w:val="left" w:pos="10080"/>
        </w:tabs>
        <w:spacing w:after="0"/>
        <w:ind w:left="630" w:right="-7" w:firstLine="176"/>
        <w:rPr>
          <w:b w:val="0"/>
          <w:sz w:val="20"/>
        </w:rPr>
      </w:pPr>
      <w:r w:rsidRPr="00127BA4">
        <w:rPr>
          <w:b w:val="0"/>
          <w:sz w:val="20"/>
        </w:rPr>
        <w:t>Wheat flour is unique because it is the only cereal grain that possesses gluten-forming proteins – gliadin and glutenin. These comprise roughly 80 percent of the total wheat protein. The remaining proteins in flour are non-gluten forming and contribute nothing to dough strength.</w:t>
      </w:r>
    </w:p>
    <w:p w:rsidR="00127BA4" w:rsidRPr="00127BA4" w:rsidRDefault="00127BA4" w:rsidP="00127BA4">
      <w:pPr>
        <w:pStyle w:val="FFFOFHeadline"/>
        <w:tabs>
          <w:tab w:val="left" w:pos="10080"/>
        </w:tabs>
        <w:spacing w:after="0"/>
        <w:ind w:left="630" w:right="-7" w:firstLine="176"/>
        <w:rPr>
          <w:b w:val="0"/>
          <w:sz w:val="20"/>
        </w:rPr>
      </w:pPr>
      <w:r w:rsidRPr="00127BA4">
        <w:rPr>
          <w:b w:val="0"/>
          <w:sz w:val="20"/>
        </w:rPr>
        <w:t>The major flour types and their relative protein levels are:</w:t>
      </w:r>
    </w:p>
    <w:p w:rsidR="00127BA4" w:rsidRPr="00127BA4" w:rsidRDefault="00127BA4" w:rsidP="00127BA4">
      <w:pPr>
        <w:pStyle w:val="FFFOFHeadline"/>
        <w:tabs>
          <w:tab w:val="left" w:pos="1440"/>
        </w:tabs>
        <w:spacing w:after="0"/>
        <w:ind w:left="630" w:right="-7"/>
        <w:rPr>
          <w:b w:val="0"/>
          <w:sz w:val="20"/>
        </w:rPr>
      </w:pPr>
      <w:r w:rsidRPr="00127BA4">
        <w:rPr>
          <w:b w:val="0"/>
          <w:sz w:val="20"/>
        </w:rPr>
        <w:tab/>
        <w:t>High Gluten</w:t>
      </w:r>
      <w:r w:rsidRPr="00127BA4">
        <w:rPr>
          <w:b w:val="0"/>
          <w:sz w:val="20"/>
        </w:rPr>
        <w:tab/>
      </w:r>
      <w:r w:rsidRPr="00127BA4">
        <w:rPr>
          <w:b w:val="0"/>
          <w:sz w:val="20"/>
        </w:rPr>
        <w:tab/>
        <w:t>13.5-14.5%</w:t>
      </w:r>
    </w:p>
    <w:p w:rsidR="00127BA4" w:rsidRPr="00127BA4" w:rsidRDefault="00127BA4" w:rsidP="00127BA4">
      <w:pPr>
        <w:pStyle w:val="FFFOFHeadline"/>
        <w:tabs>
          <w:tab w:val="left" w:pos="1440"/>
        </w:tabs>
        <w:spacing w:after="0"/>
        <w:ind w:left="630" w:right="-7"/>
        <w:rPr>
          <w:b w:val="0"/>
          <w:sz w:val="20"/>
        </w:rPr>
      </w:pPr>
      <w:r w:rsidRPr="00127BA4">
        <w:rPr>
          <w:b w:val="0"/>
          <w:sz w:val="20"/>
        </w:rPr>
        <w:tab/>
        <w:t>Bread</w:t>
      </w:r>
      <w:r w:rsidRPr="00127BA4">
        <w:rPr>
          <w:b w:val="0"/>
          <w:sz w:val="20"/>
        </w:rPr>
        <w:tab/>
      </w:r>
      <w:r w:rsidRPr="00127BA4">
        <w:rPr>
          <w:b w:val="0"/>
          <w:sz w:val="20"/>
        </w:rPr>
        <w:tab/>
      </w:r>
      <w:r w:rsidRPr="00127BA4">
        <w:rPr>
          <w:b w:val="0"/>
          <w:sz w:val="20"/>
        </w:rPr>
        <w:tab/>
        <w:t>12-13%</w:t>
      </w:r>
    </w:p>
    <w:p w:rsidR="00127BA4" w:rsidRPr="00127BA4" w:rsidRDefault="00127BA4" w:rsidP="00127BA4">
      <w:pPr>
        <w:pStyle w:val="FFFOFHeadline"/>
        <w:tabs>
          <w:tab w:val="left" w:pos="1440"/>
        </w:tabs>
        <w:spacing w:after="0"/>
        <w:ind w:left="630" w:right="-7"/>
        <w:rPr>
          <w:b w:val="0"/>
          <w:sz w:val="20"/>
        </w:rPr>
      </w:pPr>
      <w:r w:rsidRPr="00127BA4">
        <w:rPr>
          <w:b w:val="0"/>
          <w:sz w:val="20"/>
        </w:rPr>
        <w:tab/>
        <w:t>All Purpose</w:t>
      </w:r>
      <w:r w:rsidRPr="00127BA4">
        <w:rPr>
          <w:b w:val="0"/>
          <w:sz w:val="20"/>
        </w:rPr>
        <w:tab/>
      </w:r>
      <w:r w:rsidRPr="00127BA4">
        <w:rPr>
          <w:b w:val="0"/>
          <w:sz w:val="20"/>
        </w:rPr>
        <w:tab/>
        <w:t>10-12%</w:t>
      </w:r>
    </w:p>
    <w:p w:rsidR="00127BA4" w:rsidRPr="00127BA4" w:rsidRDefault="00127BA4" w:rsidP="00127BA4">
      <w:pPr>
        <w:pStyle w:val="FFFOFHeadline"/>
        <w:tabs>
          <w:tab w:val="left" w:pos="1440"/>
        </w:tabs>
        <w:spacing w:after="0"/>
        <w:ind w:left="630" w:right="-7"/>
        <w:rPr>
          <w:b w:val="0"/>
          <w:sz w:val="20"/>
        </w:rPr>
      </w:pPr>
      <w:r w:rsidRPr="00127BA4">
        <w:rPr>
          <w:b w:val="0"/>
          <w:sz w:val="20"/>
        </w:rPr>
        <w:tab/>
        <w:t>Pastry</w:t>
      </w:r>
      <w:r w:rsidRPr="00127BA4">
        <w:rPr>
          <w:b w:val="0"/>
          <w:sz w:val="20"/>
        </w:rPr>
        <w:tab/>
      </w:r>
      <w:r w:rsidRPr="00127BA4">
        <w:rPr>
          <w:b w:val="0"/>
          <w:sz w:val="20"/>
        </w:rPr>
        <w:tab/>
      </w:r>
      <w:r w:rsidRPr="00127BA4">
        <w:rPr>
          <w:b w:val="0"/>
          <w:sz w:val="20"/>
        </w:rPr>
        <w:tab/>
        <w:t xml:space="preserve"> 8-10%</w:t>
      </w:r>
    </w:p>
    <w:p w:rsidR="00127BA4" w:rsidRPr="00127BA4" w:rsidRDefault="00127BA4" w:rsidP="00127BA4">
      <w:pPr>
        <w:pStyle w:val="FFFOFHeadline"/>
        <w:tabs>
          <w:tab w:val="left" w:pos="1440"/>
        </w:tabs>
        <w:spacing w:after="0"/>
        <w:ind w:left="630" w:right="-7"/>
        <w:rPr>
          <w:b w:val="0"/>
          <w:sz w:val="20"/>
        </w:rPr>
      </w:pPr>
      <w:r w:rsidRPr="00127BA4">
        <w:rPr>
          <w:b w:val="0"/>
          <w:sz w:val="20"/>
        </w:rPr>
        <w:tab/>
        <w:t xml:space="preserve"> Cake</w:t>
      </w:r>
      <w:r w:rsidRPr="00127BA4">
        <w:rPr>
          <w:b w:val="0"/>
          <w:sz w:val="20"/>
        </w:rPr>
        <w:tab/>
      </w:r>
      <w:r w:rsidRPr="00127BA4">
        <w:rPr>
          <w:b w:val="0"/>
          <w:sz w:val="20"/>
        </w:rPr>
        <w:tab/>
      </w:r>
      <w:r w:rsidRPr="00127BA4">
        <w:rPr>
          <w:b w:val="0"/>
          <w:sz w:val="20"/>
        </w:rPr>
        <w:tab/>
        <w:t xml:space="preserve"> 7-9%</w:t>
      </w:r>
    </w:p>
    <w:p w:rsidR="00127BA4" w:rsidRPr="00127BA4" w:rsidRDefault="00127BA4" w:rsidP="00127BA4">
      <w:pPr>
        <w:pStyle w:val="FFFOFHeadline"/>
        <w:tabs>
          <w:tab w:val="left" w:pos="10080"/>
        </w:tabs>
        <w:spacing w:after="0"/>
        <w:ind w:left="630" w:right="-7" w:firstLine="176"/>
        <w:rPr>
          <w:b w:val="0"/>
          <w:sz w:val="20"/>
        </w:rPr>
      </w:pPr>
    </w:p>
    <w:p w:rsidR="00C805CE" w:rsidRPr="00127BA4" w:rsidRDefault="00127BA4" w:rsidP="00127BA4">
      <w:pPr>
        <w:pStyle w:val="FFFOFHeadline"/>
        <w:tabs>
          <w:tab w:val="left" w:pos="10080"/>
        </w:tabs>
        <w:spacing w:after="0"/>
        <w:ind w:left="634" w:firstLine="173"/>
        <w:rPr>
          <w:b w:val="0"/>
          <w:sz w:val="20"/>
        </w:rPr>
      </w:pPr>
      <w:r w:rsidRPr="00127BA4">
        <w:rPr>
          <w:b w:val="0"/>
          <w:sz w:val="20"/>
        </w:rPr>
        <w:t>To buy flour purely by a protein specification will not necessarily guarantee baking performance. Protein quality is a key component and will be discussed next week.</w:t>
      </w:r>
    </w:p>
    <w:p w:rsidR="00866AEB" w:rsidRDefault="00866AEB" w:rsidP="00127BA4">
      <w:pPr>
        <w:jc w:val="center"/>
      </w:pPr>
      <w:r w:rsidRPr="004E087E">
        <w:rPr>
          <w:sz w:val="20"/>
        </w:rPr>
        <w:sym w:font="Wingdings" w:char="00B2"/>
      </w:r>
      <w:r w:rsidRPr="004E087E">
        <w:rPr>
          <w:sz w:val="20"/>
        </w:rPr>
        <w:t xml:space="preserve"> </w:t>
      </w:r>
      <w:r w:rsidRPr="004E087E">
        <w:rPr>
          <w:sz w:val="20"/>
        </w:rPr>
        <w:sym w:font="Wingdings" w:char="00B2"/>
      </w:r>
      <w:r w:rsidRPr="004E087E">
        <w:rPr>
          <w:sz w:val="20"/>
        </w:rPr>
        <w:t xml:space="preserve"> </w:t>
      </w:r>
      <w:r w:rsidRPr="004E087E">
        <w:rPr>
          <w:sz w:val="20"/>
        </w:rPr>
        <w:sym w:font="Wingdings" w:char="00B2"/>
      </w:r>
    </w:p>
    <w:p w:rsidR="002E7583" w:rsidRDefault="00127BA4">
      <w:r>
        <w:t xml:space="preserve"> </w:t>
      </w:r>
      <w:r w:rsidRPr="00127BA4">
        <w:rPr>
          <w:noProof/>
          <w:lang w:eastAsia="en-US"/>
        </w:rPr>
        <w:drawing>
          <wp:inline distT="0" distB="0" distL="0" distR="0">
            <wp:extent cx="6953250" cy="2647950"/>
            <wp:effectExtent l="0" t="0" r="0" b="0"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sectPr w:rsidR="002E7583" w:rsidSect="004E7A81">
      <w:headerReference w:type="default" r:id="rId10"/>
      <w:pgSz w:w="12240" w:h="15840"/>
      <w:pgMar w:top="2160" w:right="547" w:bottom="2160" w:left="54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BA4" w:rsidRDefault="00127BA4" w:rsidP="004E7A81">
      <w:r>
        <w:separator/>
      </w:r>
    </w:p>
  </w:endnote>
  <w:endnote w:type="continuationSeparator" w:id="0">
    <w:p w:rsidR="00127BA4" w:rsidRDefault="00127BA4" w:rsidP="004E7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BA4" w:rsidRDefault="00127BA4" w:rsidP="004E7A81">
      <w:r>
        <w:separator/>
      </w:r>
    </w:p>
  </w:footnote>
  <w:footnote w:type="continuationSeparator" w:id="0">
    <w:p w:rsidR="00127BA4" w:rsidRDefault="00127BA4" w:rsidP="004E7A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BA4" w:rsidRDefault="00127BA4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-346075</wp:posOffset>
          </wp:positionH>
          <wp:positionV relativeFrom="paragraph">
            <wp:posOffset>-454660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MBI1111-118 Word template FlourFacts-v8-2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B01E4"/>
    <w:multiLevelType w:val="hybridMultilevel"/>
    <w:tmpl w:val="799E3860"/>
    <w:lvl w:ilvl="0" w:tplc="31504CF4">
      <w:start w:val="1"/>
      <w:numFmt w:val="bullet"/>
      <w:pStyle w:val="FF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A81"/>
    <w:rsid w:val="00091137"/>
    <w:rsid w:val="00121F17"/>
    <w:rsid w:val="00127BA4"/>
    <w:rsid w:val="00256BFB"/>
    <w:rsid w:val="002D430F"/>
    <w:rsid w:val="002D7FCB"/>
    <w:rsid w:val="002E7583"/>
    <w:rsid w:val="003745C8"/>
    <w:rsid w:val="00415175"/>
    <w:rsid w:val="00456ACD"/>
    <w:rsid w:val="004776DE"/>
    <w:rsid w:val="004E7A81"/>
    <w:rsid w:val="00570B45"/>
    <w:rsid w:val="005C30FA"/>
    <w:rsid w:val="005E4917"/>
    <w:rsid w:val="00866AEB"/>
    <w:rsid w:val="008B15B3"/>
    <w:rsid w:val="00B06AB1"/>
    <w:rsid w:val="00B356DC"/>
    <w:rsid w:val="00B56FF3"/>
    <w:rsid w:val="00C805CE"/>
    <w:rsid w:val="00D515B5"/>
    <w:rsid w:val="00E73045"/>
    <w:rsid w:val="00FE15C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2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05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866AEB"/>
    <w:pPr>
      <w:keepNext/>
      <w:jc w:val="center"/>
      <w:outlineLvl w:val="6"/>
    </w:pPr>
    <w:rPr>
      <w:rFonts w:ascii="Times New Roman" w:eastAsia="Times New Roman" w:hAnsi="Times New Roman" w:cs="Times New Roman"/>
      <w:b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7A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7A81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4E7A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A81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7A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A81"/>
    <w:rPr>
      <w:rFonts w:ascii="Lucida Grande" w:hAnsi="Lucida Grande" w:cs="Lucida Grande"/>
      <w:sz w:val="18"/>
      <w:szCs w:val="18"/>
    </w:rPr>
  </w:style>
  <w:style w:type="character" w:customStyle="1" w:styleId="Heading7Char">
    <w:name w:val="Heading 7 Char"/>
    <w:basedOn w:val="DefaultParagraphFont"/>
    <w:link w:val="Heading7"/>
    <w:rsid w:val="00866AEB"/>
    <w:rPr>
      <w:rFonts w:ascii="Times New Roman" w:eastAsia="Times New Roman" w:hAnsi="Times New Roman" w:cs="Times New Roman"/>
      <w:b/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866AEB"/>
    <w:rPr>
      <w:color w:val="0000FF" w:themeColor="hyperlink"/>
      <w:u w:val="single"/>
    </w:rPr>
  </w:style>
  <w:style w:type="paragraph" w:customStyle="1" w:styleId="FFbullets">
    <w:name w:val="FF bullets"/>
    <w:basedOn w:val="ListParagraph"/>
    <w:link w:val="FFbulletsChar"/>
    <w:qFormat/>
    <w:rsid w:val="00866AEB"/>
    <w:pPr>
      <w:numPr>
        <w:numId w:val="1"/>
      </w:num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2"/>
      <w:szCs w:val="22"/>
      <w:lang w:eastAsia="en-US"/>
    </w:rPr>
  </w:style>
  <w:style w:type="paragraph" w:customStyle="1" w:styleId="FFFOFHeadline">
    <w:name w:val="FF FOF Headline"/>
    <w:basedOn w:val="Normal"/>
    <w:link w:val="FFFOFHeadlineChar"/>
    <w:qFormat/>
    <w:rsid w:val="00866AEB"/>
    <w:pPr>
      <w:spacing w:after="120"/>
      <w:ind w:left="270"/>
    </w:pPr>
    <w:rPr>
      <w:rFonts w:ascii="Times New Roman" w:eastAsia="Times New Roman" w:hAnsi="Times New Roman" w:cs="Times New Roman"/>
      <w:b/>
      <w:bCs/>
      <w:lang w:eastAsia="en-US"/>
    </w:rPr>
  </w:style>
  <w:style w:type="character" w:customStyle="1" w:styleId="FFbulletsChar">
    <w:name w:val="FF bullets Char"/>
    <w:basedOn w:val="DefaultParagraphFont"/>
    <w:link w:val="FFbullets"/>
    <w:rsid w:val="00866AEB"/>
    <w:rPr>
      <w:rFonts w:ascii="Times New Roman" w:eastAsiaTheme="minorHAnsi" w:hAnsi="Times New Roman" w:cs="Times New Roman"/>
      <w:color w:val="000000"/>
      <w:sz w:val="22"/>
      <w:szCs w:val="22"/>
      <w:lang w:eastAsia="en-US"/>
    </w:rPr>
  </w:style>
  <w:style w:type="character" w:customStyle="1" w:styleId="FFFOFHeadlineChar">
    <w:name w:val="FF FOF Headline Char"/>
    <w:basedOn w:val="DefaultParagraphFont"/>
    <w:link w:val="FFFOFHeadline"/>
    <w:rsid w:val="00866AEB"/>
    <w:rPr>
      <w:rFonts w:ascii="Times New Roman" w:eastAsia="Times New Roman" w:hAnsi="Times New Roman" w:cs="Times New Roman"/>
      <w:b/>
      <w:bCs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866AE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805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05CE"/>
    <w:pPr>
      <w:spacing w:line="276" w:lineRule="auto"/>
      <w:ind w:firstLine="176"/>
      <w:outlineLvl w:val="9"/>
    </w:pPr>
    <w:rPr>
      <w:rFonts w:ascii="Cambria" w:eastAsia="Times New Roman" w:hAnsi="Cambria" w:cs="Times New Roman"/>
      <w:color w:val="365F9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05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866AEB"/>
    <w:pPr>
      <w:keepNext/>
      <w:jc w:val="center"/>
      <w:outlineLvl w:val="6"/>
    </w:pPr>
    <w:rPr>
      <w:rFonts w:ascii="Times New Roman" w:eastAsia="Times New Roman" w:hAnsi="Times New Roman" w:cs="Times New Roman"/>
      <w:b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7A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7A81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4E7A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A81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7A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A81"/>
    <w:rPr>
      <w:rFonts w:ascii="Lucida Grande" w:hAnsi="Lucida Grande" w:cs="Lucida Grande"/>
      <w:sz w:val="18"/>
      <w:szCs w:val="18"/>
    </w:rPr>
  </w:style>
  <w:style w:type="character" w:customStyle="1" w:styleId="Heading7Char">
    <w:name w:val="Heading 7 Char"/>
    <w:basedOn w:val="DefaultParagraphFont"/>
    <w:link w:val="Heading7"/>
    <w:rsid w:val="00866AEB"/>
    <w:rPr>
      <w:rFonts w:ascii="Times New Roman" w:eastAsia="Times New Roman" w:hAnsi="Times New Roman" w:cs="Times New Roman"/>
      <w:b/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866AEB"/>
    <w:rPr>
      <w:color w:val="0000FF" w:themeColor="hyperlink"/>
      <w:u w:val="single"/>
    </w:rPr>
  </w:style>
  <w:style w:type="paragraph" w:customStyle="1" w:styleId="FFbullets">
    <w:name w:val="FF bullets"/>
    <w:basedOn w:val="ListParagraph"/>
    <w:link w:val="FFbulletsChar"/>
    <w:qFormat/>
    <w:rsid w:val="00866AEB"/>
    <w:pPr>
      <w:numPr>
        <w:numId w:val="1"/>
      </w:num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2"/>
      <w:szCs w:val="22"/>
      <w:lang w:eastAsia="en-US"/>
    </w:rPr>
  </w:style>
  <w:style w:type="paragraph" w:customStyle="1" w:styleId="FFFOFHeadline">
    <w:name w:val="FF FOF Headline"/>
    <w:basedOn w:val="Normal"/>
    <w:link w:val="FFFOFHeadlineChar"/>
    <w:qFormat/>
    <w:rsid w:val="00866AEB"/>
    <w:pPr>
      <w:spacing w:after="120"/>
      <w:ind w:left="270"/>
    </w:pPr>
    <w:rPr>
      <w:rFonts w:ascii="Times New Roman" w:eastAsia="Times New Roman" w:hAnsi="Times New Roman" w:cs="Times New Roman"/>
      <w:b/>
      <w:bCs/>
      <w:lang w:eastAsia="en-US"/>
    </w:rPr>
  </w:style>
  <w:style w:type="character" w:customStyle="1" w:styleId="FFbulletsChar">
    <w:name w:val="FF bullets Char"/>
    <w:basedOn w:val="DefaultParagraphFont"/>
    <w:link w:val="FFbullets"/>
    <w:rsid w:val="00866AEB"/>
    <w:rPr>
      <w:rFonts w:ascii="Times New Roman" w:eastAsiaTheme="minorHAnsi" w:hAnsi="Times New Roman" w:cs="Times New Roman"/>
      <w:color w:val="000000"/>
      <w:sz w:val="22"/>
      <w:szCs w:val="22"/>
      <w:lang w:eastAsia="en-US"/>
    </w:rPr>
  </w:style>
  <w:style w:type="character" w:customStyle="1" w:styleId="FFFOFHeadlineChar">
    <w:name w:val="FF FOF Headline Char"/>
    <w:basedOn w:val="DefaultParagraphFont"/>
    <w:link w:val="FFFOFHeadline"/>
    <w:rsid w:val="00866AEB"/>
    <w:rPr>
      <w:rFonts w:ascii="Times New Roman" w:eastAsia="Times New Roman" w:hAnsi="Times New Roman" w:cs="Times New Roman"/>
      <w:b/>
      <w:bCs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866AE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805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05CE"/>
    <w:pPr>
      <w:spacing w:line="276" w:lineRule="auto"/>
      <w:ind w:firstLine="176"/>
      <w:outlineLvl w:val="9"/>
    </w:pPr>
    <w:rPr>
      <w:rFonts w:ascii="Cambria" w:eastAsia="Times New Roman" w:hAnsi="Cambria" w:cs="Times New Roman"/>
      <w:color w:val="365F9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5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aterloo\home\tmcbride\3500-General%20Mills\2012\2012-10-18_Flour_Facts_3500-002-12\Dailyxlsfor%20MandM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Futures &amp; Basis Markets</a:t>
            </a:r>
          </a:p>
        </c:rich>
      </c:tx>
      <c:layout>
        <c:manualLayout>
          <c:xMode val="edge"/>
          <c:yMode val="edge"/>
          <c:x val="0.3695893287311689"/>
          <c:y val="1.2235880586869091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694085499586525"/>
          <c:y val="0.10893370343095603"/>
          <c:w val="0.51130507316722396"/>
          <c:h val="0.64621273060291928"/>
        </c:manualLayout>
      </c:layout>
      <c:lineChart>
        <c:grouping val="standard"/>
        <c:varyColors val="0"/>
        <c:ser>
          <c:idx val="1"/>
          <c:order val="0"/>
          <c:tx>
            <c:strRef>
              <c:f>'Futures&amp;BasisChartData'!$C$1</c:f>
              <c:strCache>
                <c:ptCount val="1"/>
                <c:pt idx="0">
                  <c:v>KC Future</c:v>
                </c:pt>
              </c:strCache>
            </c:strRef>
          </c:tx>
          <c:spPr>
            <a:ln w="12700">
              <a:solidFill>
                <a:srgbClr val="00B0F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00B0F0"/>
              </a:solidFill>
              <a:ln>
                <a:solidFill>
                  <a:srgbClr val="00B0F0"/>
                </a:solidFill>
                <a:prstDash val="solid"/>
              </a:ln>
            </c:spPr>
          </c:marker>
          <c:cat>
            <c:numRef>
              <c:f>'Futures&amp;BasisChartData'!$A$1422:$A$1486</c:f>
              <c:numCache>
                <c:formatCode>m/d/yyyy</c:formatCode>
                <c:ptCount val="65"/>
                <c:pt idx="0">
                  <c:v>41108</c:v>
                </c:pt>
                <c:pt idx="1">
                  <c:v>41109</c:v>
                </c:pt>
                <c:pt idx="2">
                  <c:v>41110</c:v>
                </c:pt>
                <c:pt idx="3">
                  <c:v>41113</c:v>
                </c:pt>
                <c:pt idx="4">
                  <c:v>41114</c:v>
                </c:pt>
                <c:pt idx="5">
                  <c:v>41115</c:v>
                </c:pt>
                <c:pt idx="6">
                  <c:v>41116</c:v>
                </c:pt>
                <c:pt idx="7">
                  <c:v>41117</c:v>
                </c:pt>
                <c:pt idx="8">
                  <c:v>41120</c:v>
                </c:pt>
                <c:pt idx="9">
                  <c:v>41121</c:v>
                </c:pt>
                <c:pt idx="10">
                  <c:v>41122</c:v>
                </c:pt>
                <c:pt idx="11">
                  <c:v>41123</c:v>
                </c:pt>
                <c:pt idx="12">
                  <c:v>41124</c:v>
                </c:pt>
                <c:pt idx="13">
                  <c:v>41127</c:v>
                </c:pt>
                <c:pt idx="14">
                  <c:v>41128</c:v>
                </c:pt>
                <c:pt idx="15">
                  <c:v>41129</c:v>
                </c:pt>
                <c:pt idx="16">
                  <c:v>41130</c:v>
                </c:pt>
                <c:pt idx="17">
                  <c:v>41131</c:v>
                </c:pt>
                <c:pt idx="18">
                  <c:v>41134</c:v>
                </c:pt>
                <c:pt idx="19">
                  <c:v>41135</c:v>
                </c:pt>
                <c:pt idx="20">
                  <c:v>41136</c:v>
                </c:pt>
                <c:pt idx="21">
                  <c:v>41137</c:v>
                </c:pt>
                <c:pt idx="22">
                  <c:v>41138</c:v>
                </c:pt>
                <c:pt idx="23">
                  <c:v>41141</c:v>
                </c:pt>
                <c:pt idx="24">
                  <c:v>41142</c:v>
                </c:pt>
                <c:pt idx="25">
                  <c:v>41143</c:v>
                </c:pt>
                <c:pt idx="26">
                  <c:v>41144</c:v>
                </c:pt>
                <c:pt idx="27">
                  <c:v>41145</c:v>
                </c:pt>
                <c:pt idx="28">
                  <c:v>41148</c:v>
                </c:pt>
                <c:pt idx="29">
                  <c:v>41149</c:v>
                </c:pt>
                <c:pt idx="30">
                  <c:v>41150</c:v>
                </c:pt>
                <c:pt idx="31">
                  <c:v>41151</c:v>
                </c:pt>
                <c:pt idx="32">
                  <c:v>41152</c:v>
                </c:pt>
                <c:pt idx="33">
                  <c:v>41156</c:v>
                </c:pt>
                <c:pt idx="34">
                  <c:v>41157</c:v>
                </c:pt>
                <c:pt idx="35">
                  <c:v>41158</c:v>
                </c:pt>
                <c:pt idx="36">
                  <c:v>41159</c:v>
                </c:pt>
                <c:pt idx="37">
                  <c:v>41162</c:v>
                </c:pt>
                <c:pt idx="38">
                  <c:v>41163</c:v>
                </c:pt>
                <c:pt idx="39">
                  <c:v>41164</c:v>
                </c:pt>
                <c:pt idx="40">
                  <c:v>41165</c:v>
                </c:pt>
                <c:pt idx="41">
                  <c:v>41166</c:v>
                </c:pt>
                <c:pt idx="42">
                  <c:v>41169</c:v>
                </c:pt>
                <c:pt idx="43">
                  <c:v>41170</c:v>
                </c:pt>
                <c:pt idx="44">
                  <c:v>41171</c:v>
                </c:pt>
                <c:pt idx="45">
                  <c:v>41172</c:v>
                </c:pt>
                <c:pt idx="46">
                  <c:v>41173</c:v>
                </c:pt>
                <c:pt idx="47">
                  <c:v>41176</c:v>
                </c:pt>
                <c:pt idx="48">
                  <c:v>41177</c:v>
                </c:pt>
                <c:pt idx="49">
                  <c:v>41178</c:v>
                </c:pt>
                <c:pt idx="50">
                  <c:v>41179</c:v>
                </c:pt>
                <c:pt idx="51">
                  <c:v>41180</c:v>
                </c:pt>
                <c:pt idx="52">
                  <c:v>41183</c:v>
                </c:pt>
                <c:pt idx="53">
                  <c:v>41184</c:v>
                </c:pt>
                <c:pt idx="54">
                  <c:v>41185</c:v>
                </c:pt>
                <c:pt idx="55">
                  <c:v>41186</c:v>
                </c:pt>
                <c:pt idx="56">
                  <c:v>41187</c:v>
                </c:pt>
                <c:pt idx="57">
                  <c:v>41190</c:v>
                </c:pt>
                <c:pt idx="58">
                  <c:v>41191</c:v>
                </c:pt>
                <c:pt idx="59">
                  <c:v>41192</c:v>
                </c:pt>
                <c:pt idx="60">
                  <c:v>41193</c:v>
                </c:pt>
                <c:pt idx="61">
                  <c:v>41194</c:v>
                </c:pt>
                <c:pt idx="62">
                  <c:v>41197</c:v>
                </c:pt>
                <c:pt idx="63">
                  <c:v>41198</c:v>
                </c:pt>
                <c:pt idx="64">
                  <c:v>41199</c:v>
                </c:pt>
              </c:numCache>
            </c:numRef>
          </c:cat>
          <c:val>
            <c:numRef>
              <c:f>'Futures&amp;BasisChartData'!$C$1422:$C$1486</c:f>
              <c:numCache>
                <c:formatCode>0.000</c:formatCode>
                <c:ptCount val="65"/>
                <c:pt idx="0">
                  <c:v>9.06</c:v>
                </c:pt>
                <c:pt idx="1">
                  <c:v>9.3800000000000008</c:v>
                </c:pt>
                <c:pt idx="2">
                  <c:v>9.41</c:v>
                </c:pt>
                <c:pt idx="3">
                  <c:v>9.14</c:v>
                </c:pt>
                <c:pt idx="4">
                  <c:v>8.8049999999999997</c:v>
                </c:pt>
                <c:pt idx="5">
                  <c:v>9.0399999999999991</c:v>
                </c:pt>
                <c:pt idx="6">
                  <c:v>8.9</c:v>
                </c:pt>
                <c:pt idx="7">
                  <c:v>9.06</c:v>
                </c:pt>
                <c:pt idx="8">
                  <c:v>9.17</c:v>
                </c:pt>
                <c:pt idx="9">
                  <c:v>8.9250000000000007</c:v>
                </c:pt>
                <c:pt idx="10">
                  <c:v>8.84</c:v>
                </c:pt>
                <c:pt idx="11">
                  <c:v>8.69</c:v>
                </c:pt>
                <c:pt idx="12">
                  <c:v>8.9600000000000009</c:v>
                </c:pt>
                <c:pt idx="13">
                  <c:v>8.9600000000000009</c:v>
                </c:pt>
                <c:pt idx="14">
                  <c:v>8.9600000000000009</c:v>
                </c:pt>
                <c:pt idx="15">
                  <c:v>9.0370000000000008</c:v>
                </c:pt>
                <c:pt idx="16">
                  <c:v>9.15</c:v>
                </c:pt>
                <c:pt idx="17">
                  <c:v>8.93</c:v>
                </c:pt>
                <c:pt idx="18">
                  <c:v>8.68</c:v>
                </c:pt>
                <c:pt idx="19">
                  <c:v>8.52</c:v>
                </c:pt>
                <c:pt idx="20">
                  <c:v>8.58</c:v>
                </c:pt>
                <c:pt idx="21">
                  <c:v>8.7249999999999996</c:v>
                </c:pt>
                <c:pt idx="22">
                  <c:v>8.8550000000000004</c:v>
                </c:pt>
                <c:pt idx="23">
                  <c:v>8.91</c:v>
                </c:pt>
                <c:pt idx="24">
                  <c:v>9.0820000000000007</c:v>
                </c:pt>
                <c:pt idx="25">
                  <c:v>9.0519999999999996</c:v>
                </c:pt>
                <c:pt idx="26">
                  <c:v>8.83</c:v>
                </c:pt>
                <c:pt idx="27">
                  <c:v>8.7624999999999993</c:v>
                </c:pt>
                <c:pt idx="28">
                  <c:v>8.9849999999999994</c:v>
                </c:pt>
                <c:pt idx="29">
                  <c:v>8.9320000000000004</c:v>
                </c:pt>
                <c:pt idx="30">
                  <c:v>9.2200000000000006</c:v>
                </c:pt>
                <c:pt idx="31">
                  <c:v>9.16</c:v>
                </c:pt>
                <c:pt idx="32">
                  <c:v>9.06</c:v>
                </c:pt>
                <c:pt idx="33">
                  <c:v>9.0719999999999992</c:v>
                </c:pt>
                <c:pt idx="34">
                  <c:v>8.8699999999999992</c:v>
                </c:pt>
                <c:pt idx="35">
                  <c:v>9.1150000000000002</c:v>
                </c:pt>
                <c:pt idx="36">
                  <c:v>9.2324999999999999</c:v>
                </c:pt>
                <c:pt idx="37">
                  <c:v>9.0449999999999999</c:v>
                </c:pt>
                <c:pt idx="38">
                  <c:v>9.0399999999999991</c:v>
                </c:pt>
                <c:pt idx="39">
                  <c:v>9.125</c:v>
                </c:pt>
                <c:pt idx="40">
                  <c:v>9.2270000000000003</c:v>
                </c:pt>
                <c:pt idx="41">
                  <c:v>9.48</c:v>
                </c:pt>
                <c:pt idx="42">
                  <c:v>9.0120000000000005</c:v>
                </c:pt>
                <c:pt idx="43">
                  <c:v>8.89</c:v>
                </c:pt>
                <c:pt idx="44">
                  <c:v>9.1</c:v>
                </c:pt>
                <c:pt idx="45">
                  <c:v>9.0950000000000006</c:v>
                </c:pt>
                <c:pt idx="46">
                  <c:v>9.2620000000000005</c:v>
                </c:pt>
                <c:pt idx="47">
                  <c:v>9.1300000000000008</c:v>
                </c:pt>
                <c:pt idx="48">
                  <c:v>9.11</c:v>
                </c:pt>
                <c:pt idx="49">
                  <c:v>8.9450000000000003</c:v>
                </c:pt>
                <c:pt idx="50">
                  <c:v>8.7825000000000006</c:v>
                </c:pt>
                <c:pt idx="51">
                  <c:v>9.2750000000000004</c:v>
                </c:pt>
                <c:pt idx="52">
                  <c:v>9.07</c:v>
                </c:pt>
                <c:pt idx="53">
                  <c:v>8.9224999999999994</c:v>
                </c:pt>
                <c:pt idx="54">
                  <c:v>8.91</c:v>
                </c:pt>
                <c:pt idx="55">
                  <c:v>8.8674999999999997</c:v>
                </c:pt>
                <c:pt idx="56">
                  <c:v>8.7874999999999996</c:v>
                </c:pt>
                <c:pt idx="57">
                  <c:v>8.827</c:v>
                </c:pt>
                <c:pt idx="58">
                  <c:v>8.8870000000000005</c:v>
                </c:pt>
                <c:pt idx="59">
                  <c:v>8.9749999999999996</c:v>
                </c:pt>
                <c:pt idx="60">
                  <c:v>9.18</c:v>
                </c:pt>
                <c:pt idx="61">
                  <c:v>8.9</c:v>
                </c:pt>
                <c:pt idx="62">
                  <c:v>8.8125</c:v>
                </c:pt>
                <c:pt idx="63">
                  <c:v>8.827</c:v>
                </c:pt>
                <c:pt idx="64">
                  <c:v>8.94</c:v>
                </c:pt>
              </c:numCache>
            </c:numRef>
          </c:val>
          <c:smooth val="0"/>
        </c:ser>
        <c:ser>
          <c:idx val="3"/>
          <c:order val="1"/>
          <c:tx>
            <c:strRef>
              <c:f>'Futures&amp;BasisChartData'!$D$1</c:f>
              <c:strCache>
                <c:ptCount val="1"/>
                <c:pt idx="0">
                  <c:v>Spring 15% Basis (from MarketFax No.1 Northern Spring)</c:v>
                </c:pt>
              </c:strCache>
            </c:strRef>
          </c:tx>
          <c:spPr>
            <a:ln w="12700">
              <a:solidFill>
                <a:srgbClr val="993366"/>
              </a:solidFill>
              <a:prstDash val="solid"/>
            </a:ln>
          </c:spPr>
          <c:marker>
            <c:symbol val="x"/>
            <c:size val="4"/>
            <c:spPr>
              <a:solidFill>
                <a:srgbClr val="993366"/>
              </a:solidFill>
              <a:ln>
                <a:solidFill>
                  <a:srgbClr val="993366"/>
                </a:solidFill>
                <a:prstDash val="solid"/>
              </a:ln>
            </c:spPr>
          </c:marker>
          <c:cat>
            <c:numRef>
              <c:f>'Futures&amp;BasisChartData'!$A$1422:$A$1486</c:f>
              <c:numCache>
                <c:formatCode>m/d/yyyy</c:formatCode>
                <c:ptCount val="65"/>
                <c:pt idx="0">
                  <c:v>41108</c:v>
                </c:pt>
                <c:pt idx="1">
                  <c:v>41109</c:v>
                </c:pt>
                <c:pt idx="2">
                  <c:v>41110</c:v>
                </c:pt>
                <c:pt idx="3">
                  <c:v>41113</c:v>
                </c:pt>
                <c:pt idx="4">
                  <c:v>41114</c:v>
                </c:pt>
                <c:pt idx="5">
                  <c:v>41115</c:v>
                </c:pt>
                <c:pt idx="6">
                  <c:v>41116</c:v>
                </c:pt>
                <c:pt idx="7">
                  <c:v>41117</c:v>
                </c:pt>
                <c:pt idx="8">
                  <c:v>41120</c:v>
                </c:pt>
                <c:pt idx="9">
                  <c:v>41121</c:v>
                </c:pt>
                <c:pt idx="10">
                  <c:v>41122</c:v>
                </c:pt>
                <c:pt idx="11">
                  <c:v>41123</c:v>
                </c:pt>
                <c:pt idx="12">
                  <c:v>41124</c:v>
                </c:pt>
                <c:pt idx="13">
                  <c:v>41127</c:v>
                </c:pt>
                <c:pt idx="14">
                  <c:v>41128</c:v>
                </c:pt>
                <c:pt idx="15">
                  <c:v>41129</c:v>
                </c:pt>
                <c:pt idx="16">
                  <c:v>41130</c:v>
                </c:pt>
                <c:pt idx="17">
                  <c:v>41131</c:v>
                </c:pt>
                <c:pt idx="18">
                  <c:v>41134</c:v>
                </c:pt>
                <c:pt idx="19">
                  <c:v>41135</c:v>
                </c:pt>
                <c:pt idx="20">
                  <c:v>41136</c:v>
                </c:pt>
                <c:pt idx="21">
                  <c:v>41137</c:v>
                </c:pt>
                <c:pt idx="22">
                  <c:v>41138</c:v>
                </c:pt>
                <c:pt idx="23">
                  <c:v>41141</c:v>
                </c:pt>
                <c:pt idx="24">
                  <c:v>41142</c:v>
                </c:pt>
                <c:pt idx="25">
                  <c:v>41143</c:v>
                </c:pt>
                <c:pt idx="26">
                  <c:v>41144</c:v>
                </c:pt>
                <c:pt idx="27">
                  <c:v>41145</c:v>
                </c:pt>
                <c:pt idx="28">
                  <c:v>41148</c:v>
                </c:pt>
                <c:pt idx="29">
                  <c:v>41149</c:v>
                </c:pt>
                <c:pt idx="30">
                  <c:v>41150</c:v>
                </c:pt>
                <c:pt idx="31">
                  <c:v>41151</c:v>
                </c:pt>
                <c:pt idx="32">
                  <c:v>41152</c:v>
                </c:pt>
                <c:pt idx="33">
                  <c:v>41156</c:v>
                </c:pt>
                <c:pt idx="34">
                  <c:v>41157</c:v>
                </c:pt>
                <c:pt idx="35">
                  <c:v>41158</c:v>
                </c:pt>
                <c:pt idx="36">
                  <c:v>41159</c:v>
                </c:pt>
                <c:pt idx="37">
                  <c:v>41162</c:v>
                </c:pt>
                <c:pt idx="38">
                  <c:v>41163</c:v>
                </c:pt>
                <c:pt idx="39">
                  <c:v>41164</c:v>
                </c:pt>
                <c:pt idx="40">
                  <c:v>41165</c:v>
                </c:pt>
                <c:pt idx="41">
                  <c:v>41166</c:v>
                </c:pt>
                <c:pt idx="42">
                  <c:v>41169</c:v>
                </c:pt>
                <c:pt idx="43">
                  <c:v>41170</c:v>
                </c:pt>
                <c:pt idx="44">
                  <c:v>41171</c:v>
                </c:pt>
                <c:pt idx="45">
                  <c:v>41172</c:v>
                </c:pt>
                <c:pt idx="46">
                  <c:v>41173</c:v>
                </c:pt>
                <c:pt idx="47">
                  <c:v>41176</c:v>
                </c:pt>
                <c:pt idx="48">
                  <c:v>41177</c:v>
                </c:pt>
                <c:pt idx="49">
                  <c:v>41178</c:v>
                </c:pt>
                <c:pt idx="50">
                  <c:v>41179</c:v>
                </c:pt>
                <c:pt idx="51">
                  <c:v>41180</c:v>
                </c:pt>
                <c:pt idx="52">
                  <c:v>41183</c:v>
                </c:pt>
                <c:pt idx="53">
                  <c:v>41184</c:v>
                </c:pt>
                <c:pt idx="54">
                  <c:v>41185</c:v>
                </c:pt>
                <c:pt idx="55">
                  <c:v>41186</c:v>
                </c:pt>
                <c:pt idx="56">
                  <c:v>41187</c:v>
                </c:pt>
                <c:pt idx="57">
                  <c:v>41190</c:v>
                </c:pt>
                <c:pt idx="58">
                  <c:v>41191</c:v>
                </c:pt>
                <c:pt idx="59">
                  <c:v>41192</c:v>
                </c:pt>
                <c:pt idx="60">
                  <c:v>41193</c:v>
                </c:pt>
                <c:pt idx="61">
                  <c:v>41194</c:v>
                </c:pt>
                <c:pt idx="62">
                  <c:v>41197</c:v>
                </c:pt>
                <c:pt idx="63">
                  <c:v>41198</c:v>
                </c:pt>
                <c:pt idx="64">
                  <c:v>41199</c:v>
                </c:pt>
              </c:numCache>
            </c:numRef>
          </c:cat>
          <c:val>
            <c:numRef>
              <c:f>'Futures&amp;BasisChartData'!$D$1422:$D$1486</c:f>
              <c:numCache>
                <c:formatCode>0.00</c:formatCode>
                <c:ptCount val="65"/>
                <c:pt idx="0">
                  <c:v>0.9</c:v>
                </c:pt>
                <c:pt idx="1">
                  <c:v>0.9</c:v>
                </c:pt>
                <c:pt idx="2">
                  <c:v>0.9</c:v>
                </c:pt>
                <c:pt idx="3">
                  <c:v>0.55000000000000004</c:v>
                </c:pt>
                <c:pt idx="4">
                  <c:v>0.7</c:v>
                </c:pt>
                <c:pt idx="5">
                  <c:v>0.7</c:v>
                </c:pt>
                <c:pt idx="6">
                  <c:v>0.7</c:v>
                </c:pt>
                <c:pt idx="7">
                  <c:v>0.55000000000000004</c:v>
                </c:pt>
                <c:pt idx="8">
                  <c:v>0.55000000000000004</c:v>
                </c:pt>
                <c:pt idx="9">
                  <c:v>0.4</c:v>
                </c:pt>
                <c:pt idx="10">
                  <c:v>0.4</c:v>
                </c:pt>
                <c:pt idx="11">
                  <c:v>0.55000000000000004</c:v>
                </c:pt>
                <c:pt idx="12">
                  <c:v>0.5</c:v>
                </c:pt>
                <c:pt idx="13">
                  <c:v>0.26</c:v>
                </c:pt>
                <c:pt idx="14">
                  <c:v>0.35</c:v>
                </c:pt>
                <c:pt idx="15">
                  <c:v>0.65</c:v>
                </c:pt>
                <c:pt idx="16">
                  <c:v>0.75</c:v>
                </c:pt>
                <c:pt idx="17">
                  <c:v>0.8</c:v>
                </c:pt>
                <c:pt idx="18">
                  <c:v>0.6</c:v>
                </c:pt>
                <c:pt idx="19">
                  <c:v>0.7</c:v>
                </c:pt>
                <c:pt idx="20">
                  <c:v>0.6</c:v>
                </c:pt>
                <c:pt idx="21">
                  <c:v>0.7</c:v>
                </c:pt>
                <c:pt idx="22">
                  <c:v>0.7</c:v>
                </c:pt>
                <c:pt idx="23">
                  <c:v>0.6</c:v>
                </c:pt>
                <c:pt idx="24">
                  <c:v>0.6</c:v>
                </c:pt>
                <c:pt idx="25">
                  <c:v>0.45</c:v>
                </c:pt>
                <c:pt idx="26">
                  <c:v>0.45</c:v>
                </c:pt>
                <c:pt idx="27">
                  <c:v>0.6</c:v>
                </c:pt>
                <c:pt idx="28">
                  <c:v>0.6</c:v>
                </c:pt>
                <c:pt idx="29">
                  <c:v>0.4</c:v>
                </c:pt>
                <c:pt idx="30">
                  <c:v>0.6</c:v>
                </c:pt>
                <c:pt idx="31" formatCode="General">
                  <c:v>0.35</c:v>
                </c:pt>
                <c:pt idx="32" formatCode="General">
                  <c:v>0.37</c:v>
                </c:pt>
                <c:pt idx="33">
                  <c:v>0.3</c:v>
                </c:pt>
                <c:pt idx="34">
                  <c:v>0.2</c:v>
                </c:pt>
                <c:pt idx="35" formatCode="General">
                  <c:v>0.25</c:v>
                </c:pt>
                <c:pt idx="36" formatCode="General">
                  <c:v>0.35</c:v>
                </c:pt>
                <c:pt idx="37">
                  <c:v>0.5</c:v>
                </c:pt>
                <c:pt idx="38">
                  <c:v>0.45</c:v>
                </c:pt>
                <c:pt idx="39" formatCode="General">
                  <c:v>0.45</c:v>
                </c:pt>
                <c:pt idx="40" formatCode="General">
                  <c:v>0.45</c:v>
                </c:pt>
                <c:pt idx="41" formatCode="General">
                  <c:v>0.45</c:v>
                </c:pt>
                <c:pt idx="42">
                  <c:v>0.6</c:v>
                </c:pt>
                <c:pt idx="43">
                  <c:v>0.65</c:v>
                </c:pt>
                <c:pt idx="44" formatCode="General">
                  <c:v>0.65</c:v>
                </c:pt>
                <c:pt idx="45" formatCode="General">
                  <c:v>0.65</c:v>
                </c:pt>
                <c:pt idx="46" formatCode="General">
                  <c:v>0.65</c:v>
                </c:pt>
                <c:pt idx="47" formatCode="General">
                  <c:v>0.65</c:v>
                </c:pt>
                <c:pt idx="48">
                  <c:v>0.8</c:v>
                </c:pt>
                <c:pt idx="49">
                  <c:v>0.9</c:v>
                </c:pt>
                <c:pt idx="50">
                  <c:v>0.9</c:v>
                </c:pt>
                <c:pt idx="51">
                  <c:v>0.9</c:v>
                </c:pt>
                <c:pt idx="52">
                  <c:v>0.9</c:v>
                </c:pt>
                <c:pt idx="53">
                  <c:v>0.9</c:v>
                </c:pt>
                <c:pt idx="54">
                  <c:v>0.9</c:v>
                </c:pt>
                <c:pt idx="55">
                  <c:v>0.9</c:v>
                </c:pt>
                <c:pt idx="56">
                  <c:v>0.9</c:v>
                </c:pt>
                <c:pt idx="57">
                  <c:v>0.9</c:v>
                </c:pt>
                <c:pt idx="58">
                  <c:v>0.85</c:v>
                </c:pt>
                <c:pt idx="59">
                  <c:v>0.9</c:v>
                </c:pt>
                <c:pt idx="60">
                  <c:v>0.8</c:v>
                </c:pt>
                <c:pt idx="61">
                  <c:v>0.85</c:v>
                </c:pt>
                <c:pt idx="62">
                  <c:v>0.85</c:v>
                </c:pt>
                <c:pt idx="63">
                  <c:v>0.9</c:v>
                </c:pt>
                <c:pt idx="64">
                  <c:v>0.8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'Futures&amp;BasisChartData'!$B$1</c:f>
              <c:strCache>
                <c:ptCount val="1"/>
                <c:pt idx="0">
                  <c:v>Mpls Future</c:v>
                </c:pt>
              </c:strCache>
            </c:strRef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x"/>
            <c:size val="3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numRef>
              <c:f>'Futures&amp;BasisChartData'!$A$1422:$A$1486</c:f>
              <c:numCache>
                <c:formatCode>m/d/yyyy</c:formatCode>
                <c:ptCount val="65"/>
                <c:pt idx="0">
                  <c:v>41108</c:v>
                </c:pt>
                <c:pt idx="1">
                  <c:v>41109</c:v>
                </c:pt>
                <c:pt idx="2">
                  <c:v>41110</c:v>
                </c:pt>
                <c:pt idx="3">
                  <c:v>41113</c:v>
                </c:pt>
                <c:pt idx="4">
                  <c:v>41114</c:v>
                </c:pt>
                <c:pt idx="5">
                  <c:v>41115</c:v>
                </c:pt>
                <c:pt idx="6">
                  <c:v>41116</c:v>
                </c:pt>
                <c:pt idx="7">
                  <c:v>41117</c:v>
                </c:pt>
                <c:pt idx="8">
                  <c:v>41120</c:v>
                </c:pt>
                <c:pt idx="9">
                  <c:v>41121</c:v>
                </c:pt>
                <c:pt idx="10">
                  <c:v>41122</c:v>
                </c:pt>
                <c:pt idx="11">
                  <c:v>41123</c:v>
                </c:pt>
                <c:pt idx="12">
                  <c:v>41124</c:v>
                </c:pt>
                <c:pt idx="13">
                  <c:v>41127</c:v>
                </c:pt>
                <c:pt idx="14">
                  <c:v>41128</c:v>
                </c:pt>
                <c:pt idx="15">
                  <c:v>41129</c:v>
                </c:pt>
                <c:pt idx="16">
                  <c:v>41130</c:v>
                </c:pt>
                <c:pt idx="17">
                  <c:v>41131</c:v>
                </c:pt>
                <c:pt idx="18">
                  <c:v>41134</c:v>
                </c:pt>
                <c:pt idx="19">
                  <c:v>41135</c:v>
                </c:pt>
                <c:pt idx="20">
                  <c:v>41136</c:v>
                </c:pt>
                <c:pt idx="21">
                  <c:v>41137</c:v>
                </c:pt>
                <c:pt idx="22">
                  <c:v>41138</c:v>
                </c:pt>
                <c:pt idx="23">
                  <c:v>41141</c:v>
                </c:pt>
                <c:pt idx="24">
                  <c:v>41142</c:v>
                </c:pt>
                <c:pt idx="25">
                  <c:v>41143</c:v>
                </c:pt>
                <c:pt idx="26">
                  <c:v>41144</c:v>
                </c:pt>
                <c:pt idx="27">
                  <c:v>41145</c:v>
                </c:pt>
                <c:pt idx="28">
                  <c:v>41148</c:v>
                </c:pt>
                <c:pt idx="29">
                  <c:v>41149</c:v>
                </c:pt>
                <c:pt idx="30">
                  <c:v>41150</c:v>
                </c:pt>
                <c:pt idx="31">
                  <c:v>41151</c:v>
                </c:pt>
                <c:pt idx="32">
                  <c:v>41152</c:v>
                </c:pt>
                <c:pt idx="33">
                  <c:v>41156</c:v>
                </c:pt>
                <c:pt idx="34">
                  <c:v>41157</c:v>
                </c:pt>
                <c:pt idx="35">
                  <c:v>41158</c:v>
                </c:pt>
                <c:pt idx="36">
                  <c:v>41159</c:v>
                </c:pt>
                <c:pt idx="37">
                  <c:v>41162</c:v>
                </c:pt>
                <c:pt idx="38">
                  <c:v>41163</c:v>
                </c:pt>
                <c:pt idx="39">
                  <c:v>41164</c:v>
                </c:pt>
                <c:pt idx="40">
                  <c:v>41165</c:v>
                </c:pt>
                <c:pt idx="41">
                  <c:v>41166</c:v>
                </c:pt>
                <c:pt idx="42">
                  <c:v>41169</c:v>
                </c:pt>
                <c:pt idx="43">
                  <c:v>41170</c:v>
                </c:pt>
                <c:pt idx="44">
                  <c:v>41171</c:v>
                </c:pt>
                <c:pt idx="45">
                  <c:v>41172</c:v>
                </c:pt>
                <c:pt idx="46">
                  <c:v>41173</c:v>
                </c:pt>
                <c:pt idx="47">
                  <c:v>41176</c:v>
                </c:pt>
                <c:pt idx="48">
                  <c:v>41177</c:v>
                </c:pt>
                <c:pt idx="49">
                  <c:v>41178</c:v>
                </c:pt>
                <c:pt idx="50">
                  <c:v>41179</c:v>
                </c:pt>
                <c:pt idx="51">
                  <c:v>41180</c:v>
                </c:pt>
                <c:pt idx="52">
                  <c:v>41183</c:v>
                </c:pt>
                <c:pt idx="53">
                  <c:v>41184</c:v>
                </c:pt>
                <c:pt idx="54">
                  <c:v>41185</c:v>
                </c:pt>
                <c:pt idx="55">
                  <c:v>41186</c:v>
                </c:pt>
                <c:pt idx="56">
                  <c:v>41187</c:v>
                </c:pt>
                <c:pt idx="57">
                  <c:v>41190</c:v>
                </c:pt>
                <c:pt idx="58">
                  <c:v>41191</c:v>
                </c:pt>
                <c:pt idx="59">
                  <c:v>41192</c:v>
                </c:pt>
                <c:pt idx="60">
                  <c:v>41193</c:v>
                </c:pt>
                <c:pt idx="61">
                  <c:v>41194</c:v>
                </c:pt>
                <c:pt idx="62">
                  <c:v>41197</c:v>
                </c:pt>
                <c:pt idx="63">
                  <c:v>41198</c:v>
                </c:pt>
                <c:pt idx="64">
                  <c:v>41199</c:v>
                </c:pt>
              </c:numCache>
            </c:numRef>
          </c:cat>
          <c:val>
            <c:numRef>
              <c:f>'Futures&amp;BasisChartData'!$B$1422:$B$1486</c:f>
              <c:numCache>
                <c:formatCode>0.000</c:formatCode>
                <c:ptCount val="65"/>
                <c:pt idx="0">
                  <c:v>9.98</c:v>
                </c:pt>
                <c:pt idx="1">
                  <c:v>10.220000000000001</c:v>
                </c:pt>
                <c:pt idx="2">
                  <c:v>10.314</c:v>
                </c:pt>
                <c:pt idx="3">
                  <c:v>10.054</c:v>
                </c:pt>
                <c:pt idx="4">
                  <c:v>9.68</c:v>
                </c:pt>
                <c:pt idx="5">
                  <c:v>9.89</c:v>
                </c:pt>
                <c:pt idx="6">
                  <c:v>9.6775000000000002</c:v>
                </c:pt>
                <c:pt idx="7">
                  <c:v>9.7200000000000006</c:v>
                </c:pt>
                <c:pt idx="8">
                  <c:v>9.7669999999999995</c:v>
                </c:pt>
                <c:pt idx="9">
                  <c:v>9.5370000000000008</c:v>
                </c:pt>
                <c:pt idx="10">
                  <c:v>9.3800000000000008</c:v>
                </c:pt>
                <c:pt idx="11">
                  <c:v>9.2650000000000006</c:v>
                </c:pt>
                <c:pt idx="12">
                  <c:v>9.4450000000000003</c:v>
                </c:pt>
                <c:pt idx="13">
                  <c:v>9.39</c:v>
                </c:pt>
                <c:pt idx="14">
                  <c:v>9.3620000000000001</c:v>
                </c:pt>
                <c:pt idx="15">
                  <c:v>9.452</c:v>
                </c:pt>
                <c:pt idx="16">
                  <c:v>9.59</c:v>
                </c:pt>
                <c:pt idx="17">
                  <c:v>9.3550000000000004</c:v>
                </c:pt>
                <c:pt idx="18">
                  <c:v>9.1125000000000007</c:v>
                </c:pt>
                <c:pt idx="19">
                  <c:v>9.0274999999999999</c:v>
                </c:pt>
                <c:pt idx="20">
                  <c:v>9.1349999999999998</c:v>
                </c:pt>
                <c:pt idx="21">
                  <c:v>9.2149999999999999</c:v>
                </c:pt>
                <c:pt idx="22">
                  <c:v>9.2750000000000004</c:v>
                </c:pt>
                <c:pt idx="23">
                  <c:v>9.31</c:v>
                </c:pt>
                <c:pt idx="24">
                  <c:v>9.4469999999999992</c:v>
                </c:pt>
                <c:pt idx="25">
                  <c:v>9.4169999999999998</c:v>
                </c:pt>
                <c:pt idx="26">
                  <c:v>9.2050000000000001</c:v>
                </c:pt>
                <c:pt idx="27">
                  <c:v>9.1850000000000005</c:v>
                </c:pt>
                <c:pt idx="28">
                  <c:v>9.2520000000000007</c:v>
                </c:pt>
                <c:pt idx="29">
                  <c:v>9.2370000000000001</c:v>
                </c:pt>
                <c:pt idx="30">
                  <c:v>9.5500000000000007</c:v>
                </c:pt>
                <c:pt idx="31">
                  <c:v>9.5500000000000007</c:v>
                </c:pt>
                <c:pt idx="32">
                  <c:v>9.4819999999999993</c:v>
                </c:pt>
                <c:pt idx="33">
                  <c:v>9.4870000000000001</c:v>
                </c:pt>
                <c:pt idx="34">
                  <c:v>9.2974999999999994</c:v>
                </c:pt>
                <c:pt idx="35">
                  <c:v>9.4949999999999992</c:v>
                </c:pt>
                <c:pt idx="36">
                  <c:v>9.58</c:v>
                </c:pt>
                <c:pt idx="37">
                  <c:v>9.3524999999999991</c:v>
                </c:pt>
                <c:pt idx="38">
                  <c:v>9.35</c:v>
                </c:pt>
                <c:pt idx="39">
                  <c:v>9.5150000000000006</c:v>
                </c:pt>
                <c:pt idx="40">
                  <c:v>9.625</c:v>
                </c:pt>
                <c:pt idx="41">
                  <c:v>9.7799999999999994</c:v>
                </c:pt>
                <c:pt idx="42">
                  <c:v>9.3070000000000004</c:v>
                </c:pt>
                <c:pt idx="43">
                  <c:v>9.2449999999999992</c:v>
                </c:pt>
                <c:pt idx="44">
                  <c:v>9.42</c:v>
                </c:pt>
                <c:pt idx="45">
                  <c:v>9.4049999999999994</c:v>
                </c:pt>
                <c:pt idx="46">
                  <c:v>9.577</c:v>
                </c:pt>
                <c:pt idx="47">
                  <c:v>9.5050000000000008</c:v>
                </c:pt>
                <c:pt idx="48">
                  <c:v>9.4220000000000006</c:v>
                </c:pt>
                <c:pt idx="49">
                  <c:v>9.2949999999999999</c:v>
                </c:pt>
                <c:pt idx="50">
                  <c:v>9.1425000000000001</c:v>
                </c:pt>
                <c:pt idx="51">
                  <c:v>9.5850000000000009</c:v>
                </c:pt>
                <c:pt idx="52">
                  <c:v>9.375</c:v>
                </c:pt>
                <c:pt idx="53">
                  <c:v>9.2424999999999997</c:v>
                </c:pt>
                <c:pt idx="54">
                  <c:v>9.2974999999999994</c:v>
                </c:pt>
                <c:pt idx="55">
                  <c:v>9.2624999999999993</c:v>
                </c:pt>
                <c:pt idx="56">
                  <c:v>9.1950000000000003</c:v>
                </c:pt>
                <c:pt idx="57">
                  <c:v>9.2449999999999992</c:v>
                </c:pt>
                <c:pt idx="58">
                  <c:v>9.2799999999999994</c:v>
                </c:pt>
                <c:pt idx="59">
                  <c:v>9.3375000000000004</c:v>
                </c:pt>
                <c:pt idx="60">
                  <c:v>9.4674999999999994</c:v>
                </c:pt>
                <c:pt idx="61">
                  <c:v>9.2420000000000009</c:v>
                </c:pt>
                <c:pt idx="62">
                  <c:v>9.2100000000000009</c:v>
                </c:pt>
                <c:pt idx="63">
                  <c:v>9.2449999999999992</c:v>
                </c:pt>
                <c:pt idx="64">
                  <c:v>9.3949999999999996</c:v>
                </c:pt>
              </c:numCache>
            </c:numRef>
          </c:val>
          <c:smooth val="0"/>
        </c:ser>
        <c:ser>
          <c:idx val="2"/>
          <c:order val="3"/>
          <c:tx>
            <c:strRef>
              <c:f>'Futures&amp;BasisChartData'!$E$1</c:f>
              <c:strCache>
                <c:ptCount val="1"/>
                <c:pt idx="0">
                  <c:v>Winter 13% Basis (from MarketFax No.1 hard winter)</c:v>
                </c:pt>
              </c:strCache>
            </c:strRef>
          </c:tx>
          <c:spPr>
            <a:ln w="12700">
              <a:solidFill>
                <a:srgbClr val="0070C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0070C0"/>
              </a:solidFill>
              <a:ln>
                <a:solidFill>
                  <a:srgbClr val="0070C0"/>
                </a:solidFill>
                <a:prstDash val="solid"/>
              </a:ln>
            </c:spPr>
          </c:marker>
          <c:cat>
            <c:numRef>
              <c:f>'Futures&amp;BasisChartData'!$A$1422:$A$1486</c:f>
              <c:numCache>
                <c:formatCode>m/d/yyyy</c:formatCode>
                <c:ptCount val="65"/>
                <c:pt idx="0">
                  <c:v>41108</c:v>
                </c:pt>
                <c:pt idx="1">
                  <c:v>41109</c:v>
                </c:pt>
                <c:pt idx="2">
                  <c:v>41110</c:v>
                </c:pt>
                <c:pt idx="3">
                  <c:v>41113</c:v>
                </c:pt>
                <c:pt idx="4">
                  <c:v>41114</c:v>
                </c:pt>
                <c:pt idx="5">
                  <c:v>41115</c:v>
                </c:pt>
                <c:pt idx="6">
                  <c:v>41116</c:v>
                </c:pt>
                <c:pt idx="7">
                  <c:v>41117</c:v>
                </c:pt>
                <c:pt idx="8">
                  <c:v>41120</c:v>
                </c:pt>
                <c:pt idx="9">
                  <c:v>41121</c:v>
                </c:pt>
                <c:pt idx="10">
                  <c:v>41122</c:v>
                </c:pt>
                <c:pt idx="11">
                  <c:v>41123</c:v>
                </c:pt>
                <c:pt idx="12">
                  <c:v>41124</c:v>
                </c:pt>
                <c:pt idx="13">
                  <c:v>41127</c:v>
                </c:pt>
                <c:pt idx="14">
                  <c:v>41128</c:v>
                </c:pt>
                <c:pt idx="15">
                  <c:v>41129</c:v>
                </c:pt>
                <c:pt idx="16">
                  <c:v>41130</c:v>
                </c:pt>
                <c:pt idx="17">
                  <c:v>41131</c:v>
                </c:pt>
                <c:pt idx="18">
                  <c:v>41134</c:v>
                </c:pt>
                <c:pt idx="19">
                  <c:v>41135</c:v>
                </c:pt>
                <c:pt idx="20">
                  <c:v>41136</c:v>
                </c:pt>
                <c:pt idx="21">
                  <c:v>41137</c:v>
                </c:pt>
                <c:pt idx="22">
                  <c:v>41138</c:v>
                </c:pt>
                <c:pt idx="23">
                  <c:v>41141</c:v>
                </c:pt>
                <c:pt idx="24">
                  <c:v>41142</c:v>
                </c:pt>
                <c:pt idx="25">
                  <c:v>41143</c:v>
                </c:pt>
                <c:pt idx="26">
                  <c:v>41144</c:v>
                </c:pt>
                <c:pt idx="27">
                  <c:v>41145</c:v>
                </c:pt>
                <c:pt idx="28">
                  <c:v>41148</c:v>
                </c:pt>
                <c:pt idx="29">
                  <c:v>41149</c:v>
                </c:pt>
                <c:pt idx="30">
                  <c:v>41150</c:v>
                </c:pt>
                <c:pt idx="31">
                  <c:v>41151</c:v>
                </c:pt>
                <c:pt idx="32">
                  <c:v>41152</c:v>
                </c:pt>
                <c:pt idx="33">
                  <c:v>41156</c:v>
                </c:pt>
                <c:pt idx="34">
                  <c:v>41157</c:v>
                </c:pt>
                <c:pt idx="35">
                  <c:v>41158</c:v>
                </c:pt>
                <c:pt idx="36">
                  <c:v>41159</c:v>
                </c:pt>
                <c:pt idx="37">
                  <c:v>41162</c:v>
                </c:pt>
                <c:pt idx="38">
                  <c:v>41163</c:v>
                </c:pt>
                <c:pt idx="39">
                  <c:v>41164</c:v>
                </c:pt>
                <c:pt idx="40">
                  <c:v>41165</c:v>
                </c:pt>
                <c:pt idx="41">
                  <c:v>41166</c:v>
                </c:pt>
                <c:pt idx="42">
                  <c:v>41169</c:v>
                </c:pt>
                <c:pt idx="43">
                  <c:v>41170</c:v>
                </c:pt>
                <c:pt idx="44">
                  <c:v>41171</c:v>
                </c:pt>
                <c:pt idx="45">
                  <c:v>41172</c:v>
                </c:pt>
                <c:pt idx="46">
                  <c:v>41173</c:v>
                </c:pt>
                <c:pt idx="47">
                  <c:v>41176</c:v>
                </c:pt>
                <c:pt idx="48">
                  <c:v>41177</c:v>
                </c:pt>
                <c:pt idx="49">
                  <c:v>41178</c:v>
                </c:pt>
                <c:pt idx="50">
                  <c:v>41179</c:v>
                </c:pt>
                <c:pt idx="51">
                  <c:v>41180</c:v>
                </c:pt>
                <c:pt idx="52">
                  <c:v>41183</c:v>
                </c:pt>
                <c:pt idx="53">
                  <c:v>41184</c:v>
                </c:pt>
                <c:pt idx="54">
                  <c:v>41185</c:v>
                </c:pt>
                <c:pt idx="55">
                  <c:v>41186</c:v>
                </c:pt>
                <c:pt idx="56">
                  <c:v>41187</c:v>
                </c:pt>
                <c:pt idx="57">
                  <c:v>41190</c:v>
                </c:pt>
                <c:pt idx="58">
                  <c:v>41191</c:v>
                </c:pt>
                <c:pt idx="59">
                  <c:v>41192</c:v>
                </c:pt>
                <c:pt idx="60">
                  <c:v>41193</c:v>
                </c:pt>
                <c:pt idx="61">
                  <c:v>41194</c:v>
                </c:pt>
                <c:pt idx="62">
                  <c:v>41197</c:v>
                </c:pt>
                <c:pt idx="63">
                  <c:v>41198</c:v>
                </c:pt>
                <c:pt idx="64">
                  <c:v>41199</c:v>
                </c:pt>
              </c:numCache>
            </c:numRef>
          </c:cat>
          <c:val>
            <c:numRef>
              <c:f>'Futures&amp;BasisChartData'!$E$1422:$E$1486</c:f>
              <c:numCache>
                <c:formatCode>0.00</c:formatCode>
                <c:ptCount val="65"/>
                <c:pt idx="0">
                  <c:v>0.9</c:v>
                </c:pt>
                <c:pt idx="1">
                  <c:v>0.85</c:v>
                </c:pt>
                <c:pt idx="2">
                  <c:v>0.85</c:v>
                </c:pt>
                <c:pt idx="3">
                  <c:v>0.85</c:v>
                </c:pt>
                <c:pt idx="4">
                  <c:v>0.85</c:v>
                </c:pt>
                <c:pt idx="5">
                  <c:v>0.85</c:v>
                </c:pt>
                <c:pt idx="6">
                  <c:v>0.85</c:v>
                </c:pt>
                <c:pt idx="7">
                  <c:v>0.85</c:v>
                </c:pt>
                <c:pt idx="8">
                  <c:v>0.85</c:v>
                </c:pt>
                <c:pt idx="9">
                  <c:v>0.85</c:v>
                </c:pt>
                <c:pt idx="10">
                  <c:v>0.85</c:v>
                </c:pt>
                <c:pt idx="11">
                  <c:v>0.85</c:v>
                </c:pt>
                <c:pt idx="12">
                  <c:v>0.85</c:v>
                </c:pt>
                <c:pt idx="13">
                  <c:v>0.85</c:v>
                </c:pt>
                <c:pt idx="14">
                  <c:v>0.85</c:v>
                </c:pt>
                <c:pt idx="15">
                  <c:v>0.85</c:v>
                </c:pt>
                <c:pt idx="16">
                  <c:v>0.85</c:v>
                </c:pt>
                <c:pt idx="17">
                  <c:v>0.9</c:v>
                </c:pt>
                <c:pt idx="18">
                  <c:v>0.9</c:v>
                </c:pt>
                <c:pt idx="19">
                  <c:v>0.9</c:v>
                </c:pt>
                <c:pt idx="20">
                  <c:v>0.9</c:v>
                </c:pt>
                <c:pt idx="21">
                  <c:v>0.9</c:v>
                </c:pt>
                <c:pt idx="22">
                  <c:v>0.9</c:v>
                </c:pt>
                <c:pt idx="23">
                  <c:v>0.9</c:v>
                </c:pt>
                <c:pt idx="24">
                  <c:v>0.95</c:v>
                </c:pt>
                <c:pt idx="25">
                  <c:v>0.99</c:v>
                </c:pt>
                <c:pt idx="26">
                  <c:v>1.1000000000000001</c:v>
                </c:pt>
                <c:pt idx="27">
                  <c:v>1.1000000000000001</c:v>
                </c:pt>
                <c:pt idx="28">
                  <c:v>1.1200000000000001</c:v>
                </c:pt>
                <c:pt idx="29">
                  <c:v>1.1200000000000001</c:v>
                </c:pt>
                <c:pt idx="30">
                  <c:v>0.87</c:v>
                </c:pt>
                <c:pt idx="31" formatCode="General">
                  <c:v>0.87</c:v>
                </c:pt>
                <c:pt idx="32" formatCode="General">
                  <c:v>0.87</c:v>
                </c:pt>
                <c:pt idx="33" formatCode="General">
                  <c:v>0.87</c:v>
                </c:pt>
                <c:pt idx="34" formatCode="General">
                  <c:v>0.87</c:v>
                </c:pt>
                <c:pt idx="35" formatCode="General">
                  <c:v>0.87</c:v>
                </c:pt>
                <c:pt idx="36" formatCode="General">
                  <c:v>0.65</c:v>
                </c:pt>
                <c:pt idx="37" formatCode="General">
                  <c:v>0.65</c:v>
                </c:pt>
                <c:pt idx="38" formatCode="General">
                  <c:v>0.65</c:v>
                </c:pt>
                <c:pt idx="39" formatCode="General">
                  <c:v>0.65</c:v>
                </c:pt>
                <c:pt idx="40" formatCode="General">
                  <c:v>0.82</c:v>
                </c:pt>
                <c:pt idx="41" formatCode="General">
                  <c:v>0.85</c:v>
                </c:pt>
                <c:pt idx="42" formatCode="General">
                  <c:v>0.85</c:v>
                </c:pt>
                <c:pt idx="43" formatCode="General">
                  <c:v>0.85</c:v>
                </c:pt>
                <c:pt idx="44" formatCode="General">
                  <c:v>0.85</c:v>
                </c:pt>
                <c:pt idx="45" formatCode="General">
                  <c:v>0.85</c:v>
                </c:pt>
                <c:pt idx="46" formatCode="General">
                  <c:v>0.95</c:v>
                </c:pt>
                <c:pt idx="47" formatCode="General">
                  <c:v>0.95</c:v>
                </c:pt>
                <c:pt idx="48" formatCode="General">
                  <c:v>0.95</c:v>
                </c:pt>
                <c:pt idx="49" formatCode="General">
                  <c:v>0.95</c:v>
                </c:pt>
                <c:pt idx="50" formatCode="General">
                  <c:v>0.95</c:v>
                </c:pt>
                <c:pt idx="51">
                  <c:v>1</c:v>
                </c:pt>
                <c:pt idx="52">
                  <c:v>1</c:v>
                </c:pt>
                <c:pt idx="53">
                  <c:v>1</c:v>
                </c:pt>
                <c:pt idx="54">
                  <c:v>1</c:v>
                </c:pt>
                <c:pt idx="55">
                  <c:v>1</c:v>
                </c:pt>
                <c:pt idx="56">
                  <c:v>1</c:v>
                </c:pt>
                <c:pt idx="57">
                  <c:v>1</c:v>
                </c:pt>
                <c:pt idx="58">
                  <c:v>1.08</c:v>
                </c:pt>
                <c:pt idx="59">
                  <c:v>1.08</c:v>
                </c:pt>
                <c:pt idx="60">
                  <c:v>1.08</c:v>
                </c:pt>
                <c:pt idx="61">
                  <c:v>1.08</c:v>
                </c:pt>
                <c:pt idx="62">
                  <c:v>1.08</c:v>
                </c:pt>
                <c:pt idx="63">
                  <c:v>1.08</c:v>
                </c:pt>
                <c:pt idx="64">
                  <c:v>1.08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312576"/>
        <c:axId val="89129344"/>
      </c:lineChart>
      <c:dateAx>
        <c:axId val="38312576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low"/>
        <c:txPr>
          <a:bodyPr rot="-2700000" vert="horz"/>
          <a:lstStyle/>
          <a:p>
            <a:pPr>
              <a:defRPr/>
            </a:pPr>
            <a:endParaRPr lang="en-US"/>
          </a:p>
        </c:txPr>
        <c:crossAx val="89129344"/>
        <c:crosses val="autoZero"/>
        <c:auto val="1"/>
        <c:lblOffset val="100"/>
        <c:baseTimeUnit val="days"/>
        <c:majorUnit val="8"/>
        <c:majorTimeUnit val="days"/>
        <c:minorUnit val="3"/>
        <c:minorTimeUnit val="days"/>
      </c:dateAx>
      <c:valAx>
        <c:axId val="89129344"/>
        <c:scaling>
          <c:orientation val="minMax"/>
          <c:max val="11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 sz="1200"/>
                  <a:t>Bushel Price</a:t>
                </a:r>
              </a:p>
            </c:rich>
          </c:tx>
          <c:layout>
            <c:manualLayout>
              <c:xMode val="edge"/>
              <c:yMode val="edge"/>
              <c:x val="0"/>
              <c:y val="0.2771834815612077"/>
            </c:manualLayout>
          </c:layout>
          <c:overlay val="0"/>
          <c:spPr>
            <a:noFill/>
            <a:ln w="25400">
              <a:noFill/>
            </a:ln>
          </c:spPr>
        </c:title>
        <c:numFmt formatCode="\$#,##0.0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8312576"/>
        <c:crosses val="autoZero"/>
        <c:crossBetween val="midCat"/>
        <c:majorUnit val="1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4689361090137709"/>
          <c:y val="0.12558869701726844"/>
          <c:w val="0.34977672311509006"/>
          <c:h val="0.40456050907305652"/>
        </c:manualLayout>
      </c:layout>
      <c:overlay val="0"/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0.64521</cdr:x>
      <cdr:y>0.52518</cdr:y>
    </cdr:from>
    <cdr:to>
      <cdr:x>1</cdr:x>
      <cdr:y>0.9015</cdr:y>
    </cdr:to>
    <cdr:sp macro="" textlink="">
      <cdr:nvSpPr>
        <cdr:cNvPr id="4403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486275" y="1390649"/>
          <a:ext cx="2466975" cy="99647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US" sz="800" b="0" i="0" strike="noStrike">
              <a:solidFill>
                <a:srgbClr val="000000"/>
              </a:solidFill>
              <a:latin typeface="Arial"/>
              <a:cs typeface="Arial"/>
            </a:rPr>
            <a:t>Flour pricing consists of a combination of Wheat futures prices and Basis Premium prices per bushel.  Information contained on this chart closely resembles Gold Medal All Trumps, Mpls. Future + 15% Basis, and Harvest King, KC Future + 13% Basis.  This chart does not reflect changes in millfeed values.</a:t>
          </a:r>
        </a:p>
      </cdr:txBody>
    </cdr:sp>
  </cdr:relSizeAnchor>
  <cdr:relSizeAnchor xmlns:cdr="http://schemas.openxmlformats.org/drawingml/2006/chartDrawing">
    <cdr:from>
      <cdr:x>0.64521</cdr:x>
      <cdr:y>0.86331</cdr:y>
    </cdr:from>
    <cdr:to>
      <cdr:x>1</cdr:x>
      <cdr:y>1</cdr:y>
    </cdr:to>
    <cdr:sp macro="" textlink="">
      <cdr:nvSpPr>
        <cdr:cNvPr id="44034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486275" y="2286001"/>
          <a:ext cx="2466975" cy="36194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US" sz="1000" b="0" i="0" strike="noStrike">
              <a:solidFill>
                <a:srgbClr val="000000"/>
              </a:solidFill>
              <a:latin typeface="Arial"/>
              <a:cs typeface="Arial"/>
            </a:rPr>
            <a:t>This Chart is meant to indicate Market Direction Only.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D43F33-A95E-4DD4-BA23-0BC360FA5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1457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JT Mega</Company>
  <LinksUpToDate>false</LinksUpToDate>
  <CharactersWithSpaces>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Wallace Alexander</dc:creator>
  <cp:lastModifiedBy>Brenda Mengelkoch</cp:lastModifiedBy>
  <cp:revision>2</cp:revision>
  <dcterms:created xsi:type="dcterms:W3CDTF">2012-10-18T16:24:00Z</dcterms:created>
  <dcterms:modified xsi:type="dcterms:W3CDTF">2012-10-18T16:24:00Z</dcterms:modified>
</cp:coreProperties>
</file>