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93" w:rsidRPr="002611EB" w:rsidRDefault="00AE46D5" w:rsidP="006B0C93">
      <w:pPr>
        <w:tabs>
          <w:tab w:val="left" w:pos="10080"/>
        </w:tabs>
        <w:spacing w:after="120"/>
        <w:ind w:left="720" w:right="-7"/>
        <w:rPr>
          <w:rFonts w:ascii="Times New Roman" w:hAnsi="Times New Roman" w:cs="Times New Roman"/>
          <w:b/>
          <w:sz w:val="28"/>
          <w:szCs w:val="28"/>
        </w:rPr>
      </w:pPr>
      <w:r>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4380865</wp:posOffset>
                </wp:positionH>
                <wp:positionV relativeFrom="paragraph">
                  <wp:posOffset>-43180</wp:posOffset>
                </wp:positionV>
                <wp:extent cx="2000250" cy="292100"/>
                <wp:effectExtent l="13335" t="13970" r="15240" b="177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92100"/>
                        </a:xfrm>
                        <a:prstGeom prst="rect">
                          <a:avLst/>
                        </a:prstGeom>
                        <a:solidFill>
                          <a:srgbClr val="FFFFFF"/>
                        </a:solidFill>
                        <a:ln w="25400">
                          <a:solidFill>
                            <a:srgbClr val="FFFFFF"/>
                          </a:solidFill>
                          <a:miter lim="800000"/>
                          <a:headEnd/>
                          <a:tailEnd/>
                        </a:ln>
                      </wps:spPr>
                      <wps:txbx>
                        <w:txbxContent>
                          <w:p w:rsidR="006B0C93" w:rsidRPr="002611EB" w:rsidRDefault="002D1101" w:rsidP="006B0C93">
                            <w:pPr>
                              <w:jc w:val="right"/>
                              <w:rPr>
                                <w:rFonts w:ascii="Times New Roman" w:hAnsi="Times New Roman" w:cs="Times New Roman"/>
                                <w:b/>
                                <w:szCs w:val="24"/>
                              </w:rPr>
                            </w:pPr>
                            <w:r>
                              <w:rPr>
                                <w:rFonts w:ascii="Times New Roman" w:hAnsi="Times New Roman" w:cs="Times New Roman"/>
                                <w:b/>
                                <w:szCs w:val="24"/>
                              </w:rPr>
                              <w:t>JUNE 28</w:t>
                            </w:r>
                            <w:r w:rsidR="005D7BEA" w:rsidRPr="002611EB">
                              <w:rPr>
                                <w:rFonts w:ascii="Times New Roman" w:hAnsi="Times New Roman" w:cs="Times New Roman"/>
                                <w:b/>
                                <w:szCs w:val="24"/>
                              </w:rPr>
                              <w:t>, 2012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95pt;margin-top:-3.4pt;width:157.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" strokecolor="white" strokeweight="2pt">
                <v:textbox inset="1pt,1pt,1pt,1pt">
                  <w:txbxContent>
                    <w:p w:rsidR="006B0C93" w:rsidRPr="002611EB" w:rsidRDefault="002D1101" w:rsidP="006B0C93">
                      <w:pPr>
                        <w:jc w:val="right"/>
                        <w:rPr>
                          <w:rFonts w:ascii="Times New Roman" w:hAnsi="Times New Roman" w:cs="Times New Roman"/>
                          <w:b/>
                          <w:szCs w:val="24"/>
                        </w:rPr>
                      </w:pPr>
                      <w:r>
                        <w:rPr>
                          <w:rFonts w:ascii="Times New Roman" w:hAnsi="Times New Roman" w:cs="Times New Roman"/>
                          <w:b/>
                          <w:szCs w:val="24"/>
                        </w:rPr>
                        <w:t>JUNE 28</w:t>
                      </w:r>
                      <w:r w:rsidR="005D7BEA" w:rsidRPr="002611EB">
                        <w:rPr>
                          <w:rFonts w:ascii="Times New Roman" w:hAnsi="Times New Roman" w:cs="Times New Roman"/>
                          <w:b/>
                          <w:szCs w:val="24"/>
                        </w:rPr>
                        <w:t>, 2012</w:t>
                      </w:r>
                    </w:p>
                  </w:txbxContent>
                </v:textbox>
              </v:rect>
            </w:pict>
          </mc:Fallback>
        </mc:AlternateContent>
      </w:r>
      <w:r w:rsidR="006B0C93" w:rsidRPr="002611EB">
        <w:rPr>
          <w:rFonts w:ascii="Times New Roman" w:hAnsi="Times New Roman" w:cs="Times New Roman"/>
          <w:b/>
          <w:sz w:val="28"/>
          <w:szCs w:val="28"/>
        </w:rPr>
        <w:t>Weekly Market Highlights</w:t>
      </w:r>
    </w:p>
    <w:p w:rsidR="002D1101" w:rsidRDefault="002D1101" w:rsidP="002D1101">
      <w:pPr>
        <w:pStyle w:val="FFbullets"/>
        <w:tabs>
          <w:tab w:val="left" w:pos="1260"/>
          <w:tab w:val="left" w:pos="10080"/>
        </w:tabs>
        <w:ind w:left="1260" w:right="-7"/>
      </w:pPr>
      <w:r w:rsidRPr="00926A89">
        <w:t>Spring wheat basis levels have dropped</w:t>
      </w:r>
      <w:r>
        <w:t>. W</w:t>
      </w:r>
      <w:r w:rsidRPr="00926A89">
        <w:t>inter wheat basis are mixed.</w:t>
      </w:r>
    </w:p>
    <w:p w:rsidR="002D1101" w:rsidRPr="00926A89" w:rsidRDefault="002D1101" w:rsidP="002D1101">
      <w:pPr>
        <w:pStyle w:val="FFbullets"/>
        <w:tabs>
          <w:tab w:val="left" w:pos="1260"/>
          <w:tab w:val="left" w:pos="10080"/>
        </w:tabs>
        <w:ind w:left="1260" w:right="-7"/>
      </w:pPr>
      <w:r w:rsidRPr="00926A89">
        <w:t>Wheat futures prices continue to advance following corn futures prices</w:t>
      </w:r>
      <w:r>
        <w:t xml:space="preserve">. </w:t>
      </w:r>
      <w:r w:rsidRPr="00926A89">
        <w:t>The dry, hot weather in the central U.S. has farmers concerned about their corn crop.</w:t>
      </w:r>
    </w:p>
    <w:p w:rsidR="002D1101" w:rsidRPr="00926A89" w:rsidRDefault="002D1101" w:rsidP="002D1101">
      <w:pPr>
        <w:pStyle w:val="FFbullets"/>
        <w:tabs>
          <w:tab w:val="left" w:pos="1260"/>
          <w:tab w:val="left" w:pos="10080"/>
        </w:tabs>
        <w:ind w:left="1260" w:right="-7"/>
      </w:pPr>
      <w:r w:rsidRPr="00926A89">
        <w:t>Winter wheat harvest is near completion in Kansas and has started in South Dakota.</w:t>
      </w:r>
    </w:p>
    <w:p w:rsidR="002D1101" w:rsidRPr="00926A89" w:rsidRDefault="002D1101" w:rsidP="002D1101">
      <w:pPr>
        <w:pStyle w:val="FFbullets"/>
        <w:tabs>
          <w:tab w:val="left" w:pos="1260"/>
          <w:tab w:val="left" w:pos="10080"/>
        </w:tabs>
        <w:ind w:left="1260" w:right="-7"/>
      </w:pPr>
      <w:r w:rsidRPr="00926A89">
        <w:t xml:space="preserve">Spring wheat condition </w:t>
      </w:r>
      <w:r>
        <w:t xml:space="preserve">is </w:t>
      </w:r>
      <w:r w:rsidRPr="00926A89">
        <w:t>rated 77% good to excellent</w:t>
      </w:r>
      <w:r>
        <w:t>, which is</w:t>
      </w:r>
      <w:r w:rsidRPr="00926A89">
        <w:t xml:space="preserve"> up from last week</w:t>
      </w:r>
      <w:r>
        <w:t xml:space="preserve">. </w:t>
      </w:r>
    </w:p>
    <w:p w:rsidR="002D1101" w:rsidRPr="00926A89" w:rsidRDefault="002D1101" w:rsidP="002D1101">
      <w:pPr>
        <w:pStyle w:val="FFbullets"/>
        <w:tabs>
          <w:tab w:val="left" w:pos="1260"/>
          <w:tab w:val="left" w:pos="10080"/>
        </w:tabs>
        <w:ind w:left="1260" w:right="-7"/>
      </w:pPr>
      <w:r w:rsidRPr="00926A89">
        <w:t>Statistics Canada anticipated wheat plantings up 11% from 2011.</w:t>
      </w:r>
    </w:p>
    <w:p w:rsidR="002D1101" w:rsidRPr="00926A89" w:rsidRDefault="002D1101" w:rsidP="002D1101">
      <w:pPr>
        <w:pStyle w:val="FFbullets"/>
        <w:tabs>
          <w:tab w:val="left" w:pos="1260"/>
          <w:tab w:val="left" w:pos="10080"/>
        </w:tabs>
        <w:ind w:left="1260" w:right="-7"/>
      </w:pPr>
      <w:r>
        <w:t>USDA</w:t>
      </w:r>
      <w:r w:rsidRPr="00926A89">
        <w:t xml:space="preserve"> Acreage and Grain stocks report is due out tomorrow</w:t>
      </w:r>
      <w:r>
        <w:t xml:space="preserve">. </w:t>
      </w:r>
    </w:p>
    <w:p w:rsidR="006B0C93" w:rsidRPr="004E087E" w:rsidRDefault="006B0C93" w:rsidP="006B0C93">
      <w:pPr>
        <w:pBdr>
          <w:bottom w:val="single" w:sz="12" w:space="1" w:color="auto"/>
        </w:pBdr>
        <w:tabs>
          <w:tab w:val="left" w:pos="10080"/>
        </w:tabs>
        <w:autoSpaceDE w:val="0"/>
        <w:autoSpaceDN w:val="0"/>
        <w:adjustRightInd w:val="0"/>
        <w:ind w:left="720" w:right="-7"/>
        <w:rPr>
          <w:color w:val="000000"/>
          <w:sz w:val="20"/>
        </w:rPr>
      </w:pPr>
    </w:p>
    <w:p w:rsidR="006B0C93" w:rsidRDefault="006B0C93" w:rsidP="006B0C93">
      <w:pPr>
        <w:pStyle w:val="Heading7"/>
        <w:tabs>
          <w:tab w:val="left" w:pos="10080"/>
        </w:tabs>
        <w:spacing w:before="120"/>
        <w:ind w:right="-7"/>
        <w:rPr>
          <w:bCs/>
          <w:szCs w:val="28"/>
        </w:rPr>
      </w:pPr>
      <w:r w:rsidRPr="00B554FE">
        <w:rPr>
          <w:bCs/>
          <w:szCs w:val="28"/>
        </w:rPr>
        <w:t>Facts on Flour</w:t>
      </w:r>
    </w:p>
    <w:p w:rsidR="002D1101" w:rsidRDefault="002D1101" w:rsidP="002D1101">
      <w:pPr>
        <w:pStyle w:val="FFFOFHeadline"/>
        <w:tabs>
          <w:tab w:val="left" w:pos="10080"/>
        </w:tabs>
        <w:ind w:left="630" w:right="-7"/>
      </w:pPr>
      <w:r>
        <w:t xml:space="preserve">What’s Your Favorite Season?   </w:t>
      </w:r>
    </w:p>
    <w:p w:rsidR="002D1101" w:rsidRPr="00926A89" w:rsidRDefault="002D1101" w:rsidP="002D1101">
      <w:pPr>
        <w:pStyle w:val="FFFOFHeadline"/>
        <w:tabs>
          <w:tab w:val="left" w:pos="10080"/>
        </w:tabs>
        <w:spacing w:after="0"/>
        <w:ind w:left="630" w:right="-7" w:firstLine="176"/>
        <w:rPr>
          <w:b w:val="0"/>
        </w:rPr>
      </w:pPr>
      <w:r w:rsidRPr="00926A89">
        <w:rPr>
          <w:b w:val="0"/>
        </w:rPr>
        <w:t xml:space="preserve">Growing season is one of the major classification categories for wheat. There are two distinct seasons: winter and spring. Winter wheat is planted and begins growth in the early autumn. As winter rolls in, the growth is halted and the plant remains dormant until spring when it resumes its growth. This crop is harvested in late spring through early summer. Spring wheat is grown in areas where the winters are too cold for winter wheat to survive. Spring wheat is planted in the spring and harvested in late summer to early fall. Spring wheat will generally have </w:t>
      </w:r>
      <w:proofErr w:type="gramStart"/>
      <w:r w:rsidRPr="00926A89">
        <w:rPr>
          <w:b w:val="0"/>
        </w:rPr>
        <w:t>a higher</w:t>
      </w:r>
      <w:proofErr w:type="gramEnd"/>
      <w:r w:rsidRPr="00926A89">
        <w:rPr>
          <w:b w:val="0"/>
        </w:rPr>
        <w:t xml:space="preserve"> protein content than winter wheat. Winter wheat flours, when compared to spring wheat, tend to have a more “mellow” protein structure.</w:t>
      </w:r>
    </w:p>
    <w:p w:rsidR="006B0C93" w:rsidRPr="004E087E" w:rsidRDefault="006B0C93" w:rsidP="006B0C93">
      <w:pPr>
        <w:spacing w:before="120" w:after="120"/>
        <w:jc w:val="center"/>
        <w:rPr>
          <w:sz w:val="20"/>
        </w:rPr>
      </w:pPr>
      <w:r w:rsidRPr="004E087E">
        <w:rPr>
          <w:sz w:val="20"/>
        </w:rPr>
        <w:sym w:font="Wingdings" w:char="00B2"/>
      </w:r>
      <w:r w:rsidRPr="004E087E">
        <w:rPr>
          <w:sz w:val="20"/>
        </w:rPr>
        <w:t xml:space="preserve"> </w:t>
      </w:r>
      <w:r w:rsidRPr="004E087E">
        <w:rPr>
          <w:sz w:val="20"/>
        </w:rPr>
        <w:sym w:font="Wingdings" w:char="00B2"/>
      </w:r>
      <w:r w:rsidRPr="004E087E">
        <w:rPr>
          <w:sz w:val="20"/>
        </w:rPr>
        <w:t xml:space="preserve"> </w:t>
      </w:r>
      <w:r w:rsidRPr="004E087E">
        <w:rPr>
          <w:sz w:val="20"/>
        </w:rPr>
        <w:sym w:font="Wingdings" w:char="00B2"/>
      </w:r>
    </w:p>
    <w:p w:rsidR="002E7583" w:rsidRDefault="002D1101" w:rsidP="002D1101">
      <w:pPr>
        <w:ind w:left="180"/>
      </w:pPr>
      <w:r w:rsidRPr="002D1101">
        <w:rPr>
          <w:noProof/>
          <w:lang w:eastAsia="en-US"/>
        </w:rPr>
        <w:drawing>
          <wp:inline distT="0" distB="0" distL="0" distR="0">
            <wp:extent cx="6772275" cy="34956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2E7583" w:rsidSect="004E7A81">
      <w:headerReference w:type="default" r:id="rId9"/>
      <w:pgSz w:w="12240" w:h="15840"/>
      <w:pgMar w:top="2160" w:right="547" w:bottom="2160" w:left="5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D7" w:rsidRDefault="00A011D7" w:rsidP="004E7A81">
      <w:r>
        <w:separator/>
      </w:r>
    </w:p>
  </w:endnote>
  <w:endnote w:type="continuationSeparator" w:id="0">
    <w:p w:rsidR="00A011D7" w:rsidRDefault="00A011D7" w:rsidP="004E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D7" w:rsidRDefault="00A011D7" w:rsidP="004E7A81">
      <w:r>
        <w:separator/>
      </w:r>
    </w:p>
  </w:footnote>
  <w:footnote w:type="continuationSeparator" w:id="0">
    <w:p w:rsidR="00A011D7" w:rsidRDefault="00A011D7" w:rsidP="004E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EA" w:rsidRDefault="005D7BEA">
    <w:pPr>
      <w:pStyle w:val="Header"/>
    </w:pPr>
    <w:r>
      <w:rPr>
        <w:noProof/>
        <w:lang w:eastAsia="en-US"/>
      </w:rPr>
      <w:drawing>
        <wp:anchor distT="0" distB="0" distL="114300" distR="114300" simplePos="0" relativeHeight="251658240" behindDoc="1" locked="0" layoutInCell="1" allowOverlap="1">
          <wp:simplePos x="0" y="0"/>
          <wp:positionH relativeFrom="column">
            <wp:posOffset>-346710</wp:posOffset>
          </wp:positionH>
          <wp:positionV relativeFrom="paragraph">
            <wp:posOffset>-454660</wp:posOffset>
          </wp:positionV>
          <wp:extent cx="777255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I1111-118 Word template FlourFacts-v8-200dpi.jpg"/>
                  <pic:cNvPicPr/>
                </pic:nvPicPr>
                <pic:blipFill>
                  <a:blip r:embed="rId1">
                    <a:extLst>
                      <a:ext uri="{28A0092B-C50C-407E-A947-70E740481C1C}">
                        <a14:useLocalDpi xmlns:a14="http://schemas.microsoft.com/office/drawing/2010/main" val="0"/>
                      </a:ext>
                    </a:extLst>
                  </a:blip>
                  <a:stretch>
                    <a:fillRect/>
                  </a:stretch>
                </pic:blipFill>
                <pic:spPr>
                  <a:xfrm>
                    <a:off x="0" y="0"/>
                    <a:ext cx="7772559"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01E4"/>
    <w:multiLevelType w:val="hybridMultilevel"/>
    <w:tmpl w:val="799E3860"/>
    <w:lvl w:ilvl="0" w:tplc="31504CF4">
      <w:start w:val="1"/>
      <w:numFmt w:val="bullet"/>
      <w:pStyle w:val="FF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81"/>
    <w:rsid w:val="00005E7A"/>
    <w:rsid w:val="000C1BF7"/>
    <w:rsid w:val="00121F17"/>
    <w:rsid w:val="00256BFB"/>
    <w:rsid w:val="002D1101"/>
    <w:rsid w:val="002E7583"/>
    <w:rsid w:val="003745C8"/>
    <w:rsid w:val="00456ACD"/>
    <w:rsid w:val="004E7A81"/>
    <w:rsid w:val="005725E9"/>
    <w:rsid w:val="005830D4"/>
    <w:rsid w:val="005D7BEA"/>
    <w:rsid w:val="00616B78"/>
    <w:rsid w:val="006B0C93"/>
    <w:rsid w:val="00A011D7"/>
    <w:rsid w:val="00AE46D5"/>
    <w:rsid w:val="00B06AB1"/>
    <w:rsid w:val="00BB19C7"/>
    <w:rsid w:val="00C07183"/>
    <w:rsid w:val="00C721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7">
    <w:name w:val="heading 7"/>
    <w:basedOn w:val="Normal"/>
    <w:next w:val="Normal"/>
    <w:link w:val="Heading7Char"/>
    <w:qFormat/>
    <w:rsid w:val="006B0C93"/>
    <w:pPr>
      <w:keepNext/>
      <w:jc w:val="center"/>
      <w:outlineLvl w:val="6"/>
    </w:pPr>
    <w:rPr>
      <w:rFonts w:ascii="Times New Roman" w:eastAsia="Times New Roman" w:hAnsi="Times New Roman" w:cs="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A81"/>
    <w:pPr>
      <w:tabs>
        <w:tab w:val="center" w:pos="4320"/>
        <w:tab w:val="right" w:pos="8640"/>
      </w:tabs>
    </w:pPr>
  </w:style>
  <w:style w:type="character" w:customStyle="1" w:styleId="HeaderChar">
    <w:name w:val="Header Char"/>
    <w:basedOn w:val="DefaultParagraphFont"/>
    <w:link w:val="Header"/>
    <w:uiPriority w:val="99"/>
    <w:rsid w:val="004E7A81"/>
    <w:rPr>
      <w:sz w:val="24"/>
    </w:rPr>
  </w:style>
  <w:style w:type="paragraph" w:styleId="Footer">
    <w:name w:val="footer"/>
    <w:basedOn w:val="Normal"/>
    <w:link w:val="FooterChar"/>
    <w:uiPriority w:val="99"/>
    <w:unhideWhenUsed/>
    <w:rsid w:val="004E7A81"/>
    <w:pPr>
      <w:tabs>
        <w:tab w:val="center" w:pos="4320"/>
        <w:tab w:val="right" w:pos="8640"/>
      </w:tabs>
    </w:pPr>
  </w:style>
  <w:style w:type="character" w:customStyle="1" w:styleId="FooterChar">
    <w:name w:val="Footer Char"/>
    <w:basedOn w:val="DefaultParagraphFont"/>
    <w:link w:val="Footer"/>
    <w:uiPriority w:val="99"/>
    <w:rsid w:val="004E7A81"/>
    <w:rPr>
      <w:sz w:val="24"/>
    </w:rPr>
  </w:style>
  <w:style w:type="paragraph" w:styleId="BalloonText">
    <w:name w:val="Balloon Text"/>
    <w:basedOn w:val="Normal"/>
    <w:link w:val="BalloonTextChar"/>
    <w:uiPriority w:val="99"/>
    <w:semiHidden/>
    <w:unhideWhenUsed/>
    <w:rsid w:val="004E7A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A81"/>
    <w:rPr>
      <w:rFonts w:ascii="Lucida Grande" w:hAnsi="Lucida Grande" w:cs="Lucida Grande"/>
      <w:sz w:val="18"/>
      <w:szCs w:val="18"/>
    </w:rPr>
  </w:style>
  <w:style w:type="character" w:customStyle="1" w:styleId="Heading7Char">
    <w:name w:val="Heading 7 Char"/>
    <w:basedOn w:val="DefaultParagraphFont"/>
    <w:link w:val="Heading7"/>
    <w:rsid w:val="006B0C93"/>
    <w:rPr>
      <w:rFonts w:ascii="Times New Roman" w:eastAsia="Times New Roman" w:hAnsi="Times New Roman" w:cs="Times New Roman"/>
      <w:b/>
      <w:sz w:val="28"/>
      <w:lang w:eastAsia="en-US"/>
    </w:rPr>
  </w:style>
  <w:style w:type="character" w:styleId="Hyperlink">
    <w:name w:val="Hyperlink"/>
    <w:basedOn w:val="DefaultParagraphFont"/>
    <w:uiPriority w:val="99"/>
    <w:unhideWhenUsed/>
    <w:rsid w:val="006B0C93"/>
    <w:rPr>
      <w:color w:val="0000FF" w:themeColor="hyperlink"/>
      <w:u w:val="single"/>
    </w:rPr>
  </w:style>
  <w:style w:type="paragraph" w:customStyle="1" w:styleId="FFbullets">
    <w:name w:val="FF bullets"/>
    <w:basedOn w:val="ListParagraph"/>
    <w:link w:val="FFbulletsChar"/>
    <w:qFormat/>
    <w:rsid w:val="006B0C93"/>
    <w:pPr>
      <w:numPr>
        <w:numId w:val="1"/>
      </w:numPr>
      <w:autoSpaceDE w:val="0"/>
      <w:autoSpaceDN w:val="0"/>
      <w:adjustRightInd w:val="0"/>
    </w:pPr>
    <w:rPr>
      <w:rFonts w:ascii="Times New Roman" w:eastAsiaTheme="minorHAnsi" w:hAnsi="Times New Roman" w:cs="Times New Roman"/>
      <w:color w:val="000000"/>
      <w:sz w:val="22"/>
      <w:szCs w:val="22"/>
      <w:lang w:eastAsia="en-US"/>
    </w:rPr>
  </w:style>
  <w:style w:type="paragraph" w:customStyle="1" w:styleId="FFFOFHeadline">
    <w:name w:val="FF FOF Headline"/>
    <w:basedOn w:val="Normal"/>
    <w:link w:val="FFFOFHeadlineChar"/>
    <w:qFormat/>
    <w:rsid w:val="006B0C93"/>
    <w:pPr>
      <w:spacing w:after="120"/>
      <w:ind w:left="270"/>
    </w:pPr>
    <w:rPr>
      <w:rFonts w:ascii="Times New Roman" w:eastAsia="Times New Roman" w:hAnsi="Times New Roman" w:cs="Times New Roman"/>
      <w:b/>
      <w:bCs/>
      <w:lang w:eastAsia="en-US"/>
    </w:rPr>
  </w:style>
  <w:style w:type="character" w:customStyle="1" w:styleId="FFbulletsChar">
    <w:name w:val="FF bullets Char"/>
    <w:basedOn w:val="DefaultParagraphFont"/>
    <w:link w:val="FFbullets"/>
    <w:rsid w:val="006B0C93"/>
    <w:rPr>
      <w:rFonts w:ascii="Times New Roman" w:eastAsiaTheme="minorHAnsi" w:hAnsi="Times New Roman" w:cs="Times New Roman"/>
      <w:color w:val="000000"/>
      <w:sz w:val="22"/>
      <w:szCs w:val="22"/>
      <w:lang w:eastAsia="en-US"/>
    </w:rPr>
  </w:style>
  <w:style w:type="character" w:customStyle="1" w:styleId="FFFOFHeadlineChar">
    <w:name w:val="FF FOF Headline Char"/>
    <w:basedOn w:val="DefaultParagraphFont"/>
    <w:link w:val="FFFOFHeadline"/>
    <w:rsid w:val="006B0C93"/>
    <w:rPr>
      <w:rFonts w:ascii="Times New Roman" w:eastAsia="Times New Roman" w:hAnsi="Times New Roman" w:cs="Times New Roman"/>
      <w:b/>
      <w:bCs/>
      <w:sz w:val="24"/>
      <w:lang w:eastAsia="en-US"/>
    </w:rPr>
  </w:style>
  <w:style w:type="paragraph" w:styleId="ListParagraph">
    <w:name w:val="List Paragraph"/>
    <w:basedOn w:val="Normal"/>
    <w:uiPriority w:val="34"/>
    <w:qFormat/>
    <w:rsid w:val="006B0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7">
    <w:name w:val="heading 7"/>
    <w:basedOn w:val="Normal"/>
    <w:next w:val="Normal"/>
    <w:link w:val="Heading7Char"/>
    <w:qFormat/>
    <w:rsid w:val="006B0C93"/>
    <w:pPr>
      <w:keepNext/>
      <w:jc w:val="center"/>
      <w:outlineLvl w:val="6"/>
    </w:pPr>
    <w:rPr>
      <w:rFonts w:ascii="Times New Roman" w:eastAsia="Times New Roman" w:hAnsi="Times New Roman" w:cs="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A81"/>
    <w:pPr>
      <w:tabs>
        <w:tab w:val="center" w:pos="4320"/>
        <w:tab w:val="right" w:pos="8640"/>
      </w:tabs>
    </w:pPr>
  </w:style>
  <w:style w:type="character" w:customStyle="1" w:styleId="HeaderChar">
    <w:name w:val="Header Char"/>
    <w:basedOn w:val="DefaultParagraphFont"/>
    <w:link w:val="Header"/>
    <w:uiPriority w:val="99"/>
    <w:rsid w:val="004E7A81"/>
    <w:rPr>
      <w:sz w:val="24"/>
    </w:rPr>
  </w:style>
  <w:style w:type="paragraph" w:styleId="Footer">
    <w:name w:val="footer"/>
    <w:basedOn w:val="Normal"/>
    <w:link w:val="FooterChar"/>
    <w:uiPriority w:val="99"/>
    <w:unhideWhenUsed/>
    <w:rsid w:val="004E7A81"/>
    <w:pPr>
      <w:tabs>
        <w:tab w:val="center" w:pos="4320"/>
        <w:tab w:val="right" w:pos="8640"/>
      </w:tabs>
    </w:pPr>
  </w:style>
  <w:style w:type="character" w:customStyle="1" w:styleId="FooterChar">
    <w:name w:val="Footer Char"/>
    <w:basedOn w:val="DefaultParagraphFont"/>
    <w:link w:val="Footer"/>
    <w:uiPriority w:val="99"/>
    <w:rsid w:val="004E7A81"/>
    <w:rPr>
      <w:sz w:val="24"/>
    </w:rPr>
  </w:style>
  <w:style w:type="paragraph" w:styleId="BalloonText">
    <w:name w:val="Balloon Text"/>
    <w:basedOn w:val="Normal"/>
    <w:link w:val="BalloonTextChar"/>
    <w:uiPriority w:val="99"/>
    <w:semiHidden/>
    <w:unhideWhenUsed/>
    <w:rsid w:val="004E7A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A81"/>
    <w:rPr>
      <w:rFonts w:ascii="Lucida Grande" w:hAnsi="Lucida Grande" w:cs="Lucida Grande"/>
      <w:sz w:val="18"/>
      <w:szCs w:val="18"/>
    </w:rPr>
  </w:style>
  <w:style w:type="character" w:customStyle="1" w:styleId="Heading7Char">
    <w:name w:val="Heading 7 Char"/>
    <w:basedOn w:val="DefaultParagraphFont"/>
    <w:link w:val="Heading7"/>
    <w:rsid w:val="006B0C93"/>
    <w:rPr>
      <w:rFonts w:ascii="Times New Roman" w:eastAsia="Times New Roman" w:hAnsi="Times New Roman" w:cs="Times New Roman"/>
      <w:b/>
      <w:sz w:val="28"/>
      <w:lang w:eastAsia="en-US"/>
    </w:rPr>
  </w:style>
  <w:style w:type="character" w:styleId="Hyperlink">
    <w:name w:val="Hyperlink"/>
    <w:basedOn w:val="DefaultParagraphFont"/>
    <w:uiPriority w:val="99"/>
    <w:unhideWhenUsed/>
    <w:rsid w:val="006B0C93"/>
    <w:rPr>
      <w:color w:val="0000FF" w:themeColor="hyperlink"/>
      <w:u w:val="single"/>
    </w:rPr>
  </w:style>
  <w:style w:type="paragraph" w:customStyle="1" w:styleId="FFbullets">
    <w:name w:val="FF bullets"/>
    <w:basedOn w:val="ListParagraph"/>
    <w:link w:val="FFbulletsChar"/>
    <w:qFormat/>
    <w:rsid w:val="006B0C93"/>
    <w:pPr>
      <w:numPr>
        <w:numId w:val="1"/>
      </w:numPr>
      <w:autoSpaceDE w:val="0"/>
      <w:autoSpaceDN w:val="0"/>
      <w:adjustRightInd w:val="0"/>
    </w:pPr>
    <w:rPr>
      <w:rFonts w:ascii="Times New Roman" w:eastAsiaTheme="minorHAnsi" w:hAnsi="Times New Roman" w:cs="Times New Roman"/>
      <w:color w:val="000000"/>
      <w:sz w:val="22"/>
      <w:szCs w:val="22"/>
      <w:lang w:eastAsia="en-US"/>
    </w:rPr>
  </w:style>
  <w:style w:type="paragraph" w:customStyle="1" w:styleId="FFFOFHeadline">
    <w:name w:val="FF FOF Headline"/>
    <w:basedOn w:val="Normal"/>
    <w:link w:val="FFFOFHeadlineChar"/>
    <w:qFormat/>
    <w:rsid w:val="006B0C93"/>
    <w:pPr>
      <w:spacing w:after="120"/>
      <w:ind w:left="270"/>
    </w:pPr>
    <w:rPr>
      <w:rFonts w:ascii="Times New Roman" w:eastAsia="Times New Roman" w:hAnsi="Times New Roman" w:cs="Times New Roman"/>
      <w:b/>
      <w:bCs/>
      <w:lang w:eastAsia="en-US"/>
    </w:rPr>
  </w:style>
  <w:style w:type="character" w:customStyle="1" w:styleId="FFbulletsChar">
    <w:name w:val="FF bullets Char"/>
    <w:basedOn w:val="DefaultParagraphFont"/>
    <w:link w:val="FFbullets"/>
    <w:rsid w:val="006B0C93"/>
    <w:rPr>
      <w:rFonts w:ascii="Times New Roman" w:eastAsiaTheme="minorHAnsi" w:hAnsi="Times New Roman" w:cs="Times New Roman"/>
      <w:color w:val="000000"/>
      <w:sz w:val="22"/>
      <w:szCs w:val="22"/>
      <w:lang w:eastAsia="en-US"/>
    </w:rPr>
  </w:style>
  <w:style w:type="character" w:customStyle="1" w:styleId="FFFOFHeadlineChar">
    <w:name w:val="FF FOF Headline Char"/>
    <w:basedOn w:val="DefaultParagraphFont"/>
    <w:link w:val="FFFOFHeadline"/>
    <w:rsid w:val="006B0C93"/>
    <w:rPr>
      <w:rFonts w:ascii="Times New Roman" w:eastAsia="Times New Roman" w:hAnsi="Times New Roman" w:cs="Times New Roman"/>
      <w:b/>
      <w:bCs/>
      <w:sz w:val="24"/>
      <w:lang w:eastAsia="en-US"/>
    </w:rPr>
  </w:style>
  <w:style w:type="paragraph" w:styleId="ListParagraph">
    <w:name w:val="List Paragraph"/>
    <w:basedOn w:val="Normal"/>
    <w:uiPriority w:val="34"/>
    <w:qFormat/>
    <w:rsid w:val="006B0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aterloo\home\tmcbride\General%20Mills\Flour%20Facts\Flour%20Facts%203500-002-12\062812%20FF\Dailyxlsfor%20Mand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US"/>
              <a:t>Futures &amp; Basis Markets</a:t>
            </a:r>
          </a:p>
        </c:rich>
      </c:tx>
      <c:layout>
        <c:manualLayout>
          <c:xMode val="edge"/>
          <c:yMode val="edge"/>
          <c:x val="0.36958934698869988"/>
          <c:y val="2.0408163265306152E-2"/>
        </c:manualLayout>
      </c:layout>
      <c:overlay val="0"/>
      <c:spPr>
        <a:noFill/>
        <a:ln w="25400">
          <a:noFill/>
        </a:ln>
      </c:spPr>
    </c:title>
    <c:autoTitleDeleted val="0"/>
    <c:plotArea>
      <c:layout>
        <c:manualLayout>
          <c:layoutTarget val="inner"/>
          <c:xMode val="edge"/>
          <c:yMode val="edge"/>
          <c:x val="0.10412044805874676"/>
          <c:y val="0.13291470434327576"/>
          <c:w val="0.58466217039325785"/>
          <c:h val="0.65664313759145232"/>
        </c:manualLayout>
      </c:layout>
      <c:lineChart>
        <c:grouping val="standard"/>
        <c:varyColors val="0"/>
        <c:ser>
          <c:idx val="1"/>
          <c:order val="0"/>
          <c:tx>
            <c:strRef>
              <c:f>'Futures&amp;BasisChartData'!$C$1</c:f>
              <c:strCache>
                <c:ptCount val="1"/>
                <c:pt idx="0">
                  <c:v>KC Future</c:v>
                </c:pt>
              </c:strCache>
            </c:strRef>
          </c:tx>
          <c:spPr>
            <a:ln w="12700">
              <a:solidFill>
                <a:srgbClr val="0066CC"/>
              </a:solidFill>
              <a:prstDash val="solid"/>
            </a:ln>
          </c:spPr>
          <c:marker>
            <c:symbol val="triangle"/>
            <c:size val="3"/>
            <c:spPr>
              <a:solidFill>
                <a:srgbClr val="0066CC"/>
              </a:solidFill>
              <a:ln>
                <a:solidFill>
                  <a:srgbClr val="0066CC"/>
                </a:solidFill>
                <a:prstDash val="solid"/>
              </a:ln>
            </c:spPr>
          </c:marker>
          <c:cat>
            <c:numRef>
              <c:f>'Futures&amp;BasisChartData'!$A$1345:$A$1408</c:f>
              <c:numCache>
                <c:formatCode>[$-F800]dddd\,\ mmmm\ dd\,\ yyyy</c:formatCode>
                <c:ptCount val="64"/>
                <c:pt idx="0">
                  <c:v>40996</c:v>
                </c:pt>
                <c:pt idx="1">
                  <c:v>40997</c:v>
                </c:pt>
                <c:pt idx="2">
                  <c:v>40998</c:v>
                </c:pt>
                <c:pt idx="3">
                  <c:v>41001</c:v>
                </c:pt>
                <c:pt idx="4">
                  <c:v>41002</c:v>
                </c:pt>
                <c:pt idx="5">
                  <c:v>41003</c:v>
                </c:pt>
                <c:pt idx="6">
                  <c:v>41004</c:v>
                </c:pt>
                <c:pt idx="7">
                  <c:v>41008</c:v>
                </c:pt>
                <c:pt idx="8">
                  <c:v>41009</c:v>
                </c:pt>
                <c:pt idx="9">
                  <c:v>41010</c:v>
                </c:pt>
                <c:pt idx="10">
                  <c:v>41011</c:v>
                </c:pt>
                <c:pt idx="11">
                  <c:v>41012</c:v>
                </c:pt>
                <c:pt idx="12">
                  <c:v>41015</c:v>
                </c:pt>
                <c:pt idx="13">
                  <c:v>41016</c:v>
                </c:pt>
                <c:pt idx="14">
                  <c:v>41017</c:v>
                </c:pt>
                <c:pt idx="15">
                  <c:v>41018</c:v>
                </c:pt>
                <c:pt idx="16">
                  <c:v>41019</c:v>
                </c:pt>
                <c:pt idx="17">
                  <c:v>41022</c:v>
                </c:pt>
                <c:pt idx="18">
                  <c:v>41023</c:v>
                </c:pt>
                <c:pt idx="19">
                  <c:v>41024</c:v>
                </c:pt>
                <c:pt idx="20">
                  <c:v>41025</c:v>
                </c:pt>
                <c:pt idx="21">
                  <c:v>41026</c:v>
                </c:pt>
                <c:pt idx="22">
                  <c:v>41029</c:v>
                </c:pt>
                <c:pt idx="23">
                  <c:v>41030</c:v>
                </c:pt>
                <c:pt idx="24">
                  <c:v>41031</c:v>
                </c:pt>
                <c:pt idx="25">
                  <c:v>41032</c:v>
                </c:pt>
                <c:pt idx="26">
                  <c:v>41033</c:v>
                </c:pt>
                <c:pt idx="27">
                  <c:v>41036</c:v>
                </c:pt>
                <c:pt idx="28">
                  <c:v>41037</c:v>
                </c:pt>
                <c:pt idx="29">
                  <c:v>41038</c:v>
                </c:pt>
                <c:pt idx="30">
                  <c:v>41039</c:v>
                </c:pt>
                <c:pt idx="31">
                  <c:v>41040</c:v>
                </c:pt>
                <c:pt idx="32">
                  <c:v>41043</c:v>
                </c:pt>
                <c:pt idx="33">
                  <c:v>41044</c:v>
                </c:pt>
                <c:pt idx="34">
                  <c:v>41045</c:v>
                </c:pt>
                <c:pt idx="35">
                  <c:v>41046</c:v>
                </c:pt>
                <c:pt idx="36">
                  <c:v>41047</c:v>
                </c:pt>
                <c:pt idx="37">
                  <c:v>41050</c:v>
                </c:pt>
                <c:pt idx="38">
                  <c:v>41051</c:v>
                </c:pt>
                <c:pt idx="39">
                  <c:v>41052</c:v>
                </c:pt>
                <c:pt idx="40">
                  <c:v>41053</c:v>
                </c:pt>
                <c:pt idx="41">
                  <c:v>41054</c:v>
                </c:pt>
                <c:pt idx="42">
                  <c:v>41058</c:v>
                </c:pt>
                <c:pt idx="43">
                  <c:v>41059</c:v>
                </c:pt>
                <c:pt idx="44">
                  <c:v>41060</c:v>
                </c:pt>
                <c:pt idx="45">
                  <c:v>41061</c:v>
                </c:pt>
                <c:pt idx="46">
                  <c:v>41064</c:v>
                </c:pt>
                <c:pt idx="47">
                  <c:v>41065</c:v>
                </c:pt>
                <c:pt idx="48">
                  <c:v>41066</c:v>
                </c:pt>
                <c:pt idx="49">
                  <c:v>41067</c:v>
                </c:pt>
                <c:pt idx="50">
                  <c:v>41068</c:v>
                </c:pt>
                <c:pt idx="51">
                  <c:v>41071</c:v>
                </c:pt>
                <c:pt idx="52">
                  <c:v>41072</c:v>
                </c:pt>
                <c:pt idx="53">
                  <c:v>41073</c:v>
                </c:pt>
                <c:pt idx="54">
                  <c:v>41074</c:v>
                </c:pt>
                <c:pt idx="55">
                  <c:v>41075</c:v>
                </c:pt>
                <c:pt idx="56">
                  <c:v>41078</c:v>
                </c:pt>
                <c:pt idx="57">
                  <c:v>41079</c:v>
                </c:pt>
                <c:pt idx="58">
                  <c:v>41080</c:v>
                </c:pt>
                <c:pt idx="59">
                  <c:v>41081</c:v>
                </c:pt>
                <c:pt idx="60">
                  <c:v>41082</c:v>
                </c:pt>
                <c:pt idx="61">
                  <c:v>41085</c:v>
                </c:pt>
                <c:pt idx="62">
                  <c:v>41086</c:v>
                </c:pt>
                <c:pt idx="63">
                  <c:v>41087</c:v>
                </c:pt>
              </c:numCache>
            </c:numRef>
          </c:cat>
          <c:val>
            <c:numRef>
              <c:f>'Futures&amp;BasisChartData'!$C$1345:$C$1408</c:f>
              <c:numCache>
                <c:formatCode>0.000</c:formatCode>
                <c:ptCount val="64"/>
                <c:pt idx="0">
                  <c:v>6.7</c:v>
                </c:pt>
                <c:pt idx="1">
                  <c:v>6.54</c:v>
                </c:pt>
                <c:pt idx="2">
                  <c:v>6.9749999999999996</c:v>
                </c:pt>
                <c:pt idx="3">
                  <c:v>6.9</c:v>
                </c:pt>
                <c:pt idx="4">
                  <c:v>6.9</c:v>
                </c:pt>
                <c:pt idx="5">
                  <c:v>6.6950000000000003</c:v>
                </c:pt>
                <c:pt idx="6">
                  <c:v>6.62</c:v>
                </c:pt>
                <c:pt idx="7">
                  <c:v>6.6</c:v>
                </c:pt>
                <c:pt idx="8">
                  <c:v>6.41</c:v>
                </c:pt>
                <c:pt idx="9">
                  <c:v>6.44</c:v>
                </c:pt>
                <c:pt idx="10">
                  <c:v>6.53</c:v>
                </c:pt>
                <c:pt idx="11">
                  <c:v>6.43</c:v>
                </c:pt>
                <c:pt idx="12">
                  <c:v>6.3049999999999997</c:v>
                </c:pt>
                <c:pt idx="13">
                  <c:v>6.32</c:v>
                </c:pt>
                <c:pt idx="14">
                  <c:v>6.26</c:v>
                </c:pt>
                <c:pt idx="15">
                  <c:v>6.375</c:v>
                </c:pt>
                <c:pt idx="16">
                  <c:v>6.26</c:v>
                </c:pt>
                <c:pt idx="17">
                  <c:v>6.3520000000000003</c:v>
                </c:pt>
                <c:pt idx="18">
                  <c:v>6.33</c:v>
                </c:pt>
                <c:pt idx="19">
                  <c:v>6.32</c:v>
                </c:pt>
                <c:pt idx="20">
                  <c:v>6.3925000000000001</c:v>
                </c:pt>
                <c:pt idx="21">
                  <c:v>6.4649999999999999</c:v>
                </c:pt>
                <c:pt idx="22">
                  <c:v>6.62</c:v>
                </c:pt>
                <c:pt idx="23">
                  <c:v>6.57</c:v>
                </c:pt>
                <c:pt idx="24">
                  <c:v>6.3049999999999997</c:v>
                </c:pt>
                <c:pt idx="25">
                  <c:v>6.33</c:v>
                </c:pt>
                <c:pt idx="26">
                  <c:v>6.27</c:v>
                </c:pt>
                <c:pt idx="27">
                  <c:v>6.3120000000000003</c:v>
                </c:pt>
                <c:pt idx="28">
                  <c:v>6.36</c:v>
                </c:pt>
                <c:pt idx="29">
                  <c:v>6.19</c:v>
                </c:pt>
                <c:pt idx="30">
                  <c:v>6.1749999999999998</c:v>
                </c:pt>
                <c:pt idx="31">
                  <c:v>6.1</c:v>
                </c:pt>
                <c:pt idx="32">
                  <c:v>6.1449999999999996</c:v>
                </c:pt>
                <c:pt idx="33">
                  <c:v>6.2750000000000004</c:v>
                </c:pt>
                <c:pt idx="34">
                  <c:v>6.56</c:v>
                </c:pt>
                <c:pt idx="35">
                  <c:v>6.72</c:v>
                </c:pt>
                <c:pt idx="36">
                  <c:v>7.05</c:v>
                </c:pt>
                <c:pt idx="37">
                  <c:v>7.15</c:v>
                </c:pt>
                <c:pt idx="38">
                  <c:v>7.0149999999999997</c:v>
                </c:pt>
                <c:pt idx="39">
                  <c:v>6.8650000000000002</c:v>
                </c:pt>
                <c:pt idx="40">
                  <c:v>6.87</c:v>
                </c:pt>
                <c:pt idx="41">
                  <c:v>7</c:v>
                </c:pt>
                <c:pt idx="42">
                  <c:v>6.9349999999999996</c:v>
                </c:pt>
                <c:pt idx="43">
                  <c:v>6.9450000000000003</c:v>
                </c:pt>
                <c:pt idx="44">
                  <c:v>6.81</c:v>
                </c:pt>
                <c:pt idx="45">
                  <c:v>6.4459999999999997</c:v>
                </c:pt>
                <c:pt idx="46">
                  <c:v>6.516</c:v>
                </c:pt>
                <c:pt idx="47">
                  <c:v>6.38</c:v>
                </c:pt>
                <c:pt idx="48">
                  <c:v>6.55</c:v>
                </c:pt>
                <c:pt idx="49">
                  <c:v>6.6849999999999996</c:v>
                </c:pt>
                <c:pt idx="50">
                  <c:v>6.56</c:v>
                </c:pt>
                <c:pt idx="51">
                  <c:v>6.53</c:v>
                </c:pt>
                <c:pt idx="52">
                  <c:v>6.407</c:v>
                </c:pt>
                <c:pt idx="53">
                  <c:v>6.4050000000000002</c:v>
                </c:pt>
                <c:pt idx="54">
                  <c:v>6.46</c:v>
                </c:pt>
                <c:pt idx="55">
                  <c:v>6.3</c:v>
                </c:pt>
                <c:pt idx="56">
                  <c:v>6.5049999999999999</c:v>
                </c:pt>
                <c:pt idx="57">
                  <c:v>6.7</c:v>
                </c:pt>
                <c:pt idx="58">
                  <c:v>6.8650000000000002</c:v>
                </c:pt>
                <c:pt idx="59">
                  <c:v>6.83</c:v>
                </c:pt>
                <c:pt idx="60">
                  <c:v>6.86</c:v>
                </c:pt>
                <c:pt idx="61">
                  <c:v>7.33</c:v>
                </c:pt>
                <c:pt idx="62">
                  <c:v>7.3570000000000002</c:v>
                </c:pt>
                <c:pt idx="63">
                  <c:v>7.44</c:v>
                </c:pt>
              </c:numCache>
            </c:numRef>
          </c:val>
          <c:smooth val="0"/>
        </c:ser>
        <c:ser>
          <c:idx val="3"/>
          <c:order val="1"/>
          <c:tx>
            <c:strRef>
              <c:f>'Futures&amp;BasisChartData'!$D$1</c:f>
              <c:strCache>
                <c:ptCount val="1"/>
                <c:pt idx="0">
                  <c:v>Spring 15% Basis (from MarketFax No.1 Northern Spring)</c:v>
                </c:pt>
              </c:strCache>
            </c:strRef>
          </c:tx>
          <c:spPr>
            <a:ln w="12700">
              <a:solidFill>
                <a:srgbClr val="993366"/>
              </a:solidFill>
              <a:prstDash val="solid"/>
            </a:ln>
          </c:spPr>
          <c:marker>
            <c:symbol val="x"/>
            <c:size val="4"/>
            <c:spPr>
              <a:solidFill>
                <a:srgbClr val="993366"/>
              </a:solidFill>
              <a:ln>
                <a:solidFill>
                  <a:srgbClr val="993366"/>
                </a:solidFill>
                <a:prstDash val="solid"/>
              </a:ln>
            </c:spPr>
          </c:marker>
          <c:cat>
            <c:numRef>
              <c:f>'Futures&amp;BasisChartData'!$A$1345:$A$1408</c:f>
              <c:numCache>
                <c:formatCode>[$-F800]dddd\,\ mmmm\ dd\,\ yyyy</c:formatCode>
                <c:ptCount val="64"/>
                <c:pt idx="0">
                  <c:v>40996</c:v>
                </c:pt>
                <c:pt idx="1">
                  <c:v>40997</c:v>
                </c:pt>
                <c:pt idx="2">
                  <c:v>40998</c:v>
                </c:pt>
                <c:pt idx="3">
                  <c:v>41001</c:v>
                </c:pt>
                <c:pt idx="4">
                  <c:v>41002</c:v>
                </c:pt>
                <c:pt idx="5">
                  <c:v>41003</c:v>
                </c:pt>
                <c:pt idx="6">
                  <c:v>41004</c:v>
                </c:pt>
                <c:pt idx="7">
                  <c:v>41008</c:v>
                </c:pt>
                <c:pt idx="8">
                  <c:v>41009</c:v>
                </c:pt>
                <c:pt idx="9">
                  <c:v>41010</c:v>
                </c:pt>
                <c:pt idx="10">
                  <c:v>41011</c:v>
                </c:pt>
                <c:pt idx="11">
                  <c:v>41012</c:v>
                </c:pt>
                <c:pt idx="12">
                  <c:v>41015</c:v>
                </c:pt>
                <c:pt idx="13">
                  <c:v>41016</c:v>
                </c:pt>
                <c:pt idx="14">
                  <c:v>41017</c:v>
                </c:pt>
                <c:pt idx="15">
                  <c:v>41018</c:v>
                </c:pt>
                <c:pt idx="16">
                  <c:v>41019</c:v>
                </c:pt>
                <c:pt idx="17">
                  <c:v>41022</c:v>
                </c:pt>
                <c:pt idx="18">
                  <c:v>41023</c:v>
                </c:pt>
                <c:pt idx="19">
                  <c:v>41024</c:v>
                </c:pt>
                <c:pt idx="20">
                  <c:v>41025</c:v>
                </c:pt>
                <c:pt idx="21">
                  <c:v>41026</c:v>
                </c:pt>
                <c:pt idx="22">
                  <c:v>41029</c:v>
                </c:pt>
                <c:pt idx="23">
                  <c:v>41030</c:v>
                </c:pt>
                <c:pt idx="24">
                  <c:v>41031</c:v>
                </c:pt>
                <c:pt idx="25">
                  <c:v>41032</c:v>
                </c:pt>
                <c:pt idx="26">
                  <c:v>41033</c:v>
                </c:pt>
                <c:pt idx="27">
                  <c:v>41036</c:v>
                </c:pt>
                <c:pt idx="28">
                  <c:v>41037</c:v>
                </c:pt>
                <c:pt idx="29">
                  <c:v>41038</c:v>
                </c:pt>
                <c:pt idx="30">
                  <c:v>41039</c:v>
                </c:pt>
                <c:pt idx="31">
                  <c:v>41040</c:v>
                </c:pt>
                <c:pt idx="32">
                  <c:v>41043</c:v>
                </c:pt>
                <c:pt idx="33">
                  <c:v>41044</c:v>
                </c:pt>
                <c:pt idx="34">
                  <c:v>41045</c:v>
                </c:pt>
                <c:pt idx="35">
                  <c:v>41046</c:v>
                </c:pt>
                <c:pt idx="36">
                  <c:v>41047</c:v>
                </c:pt>
                <c:pt idx="37">
                  <c:v>41050</c:v>
                </c:pt>
                <c:pt idx="38">
                  <c:v>41051</c:v>
                </c:pt>
                <c:pt idx="39">
                  <c:v>41052</c:v>
                </c:pt>
                <c:pt idx="40">
                  <c:v>41053</c:v>
                </c:pt>
                <c:pt idx="41">
                  <c:v>41054</c:v>
                </c:pt>
                <c:pt idx="42">
                  <c:v>41058</c:v>
                </c:pt>
                <c:pt idx="43">
                  <c:v>41059</c:v>
                </c:pt>
                <c:pt idx="44">
                  <c:v>41060</c:v>
                </c:pt>
                <c:pt idx="45">
                  <c:v>41061</c:v>
                </c:pt>
                <c:pt idx="46">
                  <c:v>41064</c:v>
                </c:pt>
                <c:pt idx="47">
                  <c:v>41065</c:v>
                </c:pt>
                <c:pt idx="48">
                  <c:v>41066</c:v>
                </c:pt>
                <c:pt idx="49">
                  <c:v>41067</c:v>
                </c:pt>
                <c:pt idx="50">
                  <c:v>41068</c:v>
                </c:pt>
                <c:pt idx="51">
                  <c:v>41071</c:v>
                </c:pt>
                <c:pt idx="52">
                  <c:v>41072</c:v>
                </c:pt>
                <c:pt idx="53">
                  <c:v>41073</c:v>
                </c:pt>
                <c:pt idx="54">
                  <c:v>41074</c:v>
                </c:pt>
                <c:pt idx="55">
                  <c:v>41075</c:v>
                </c:pt>
                <c:pt idx="56">
                  <c:v>41078</c:v>
                </c:pt>
                <c:pt idx="57">
                  <c:v>41079</c:v>
                </c:pt>
                <c:pt idx="58">
                  <c:v>41080</c:v>
                </c:pt>
                <c:pt idx="59">
                  <c:v>41081</c:v>
                </c:pt>
                <c:pt idx="60">
                  <c:v>41082</c:v>
                </c:pt>
                <c:pt idx="61">
                  <c:v>41085</c:v>
                </c:pt>
                <c:pt idx="62">
                  <c:v>41086</c:v>
                </c:pt>
                <c:pt idx="63">
                  <c:v>41087</c:v>
                </c:pt>
              </c:numCache>
            </c:numRef>
          </c:cat>
          <c:val>
            <c:numRef>
              <c:f>'Futures&amp;BasisChartData'!$D$1345:$D$1408</c:f>
              <c:numCache>
                <c:formatCode>0.00</c:formatCode>
                <c:ptCount val="64"/>
                <c:pt idx="0">
                  <c:v>2.25</c:v>
                </c:pt>
                <c:pt idx="1">
                  <c:v>2.2999999999999998</c:v>
                </c:pt>
                <c:pt idx="2">
                  <c:v>2.25</c:v>
                </c:pt>
                <c:pt idx="3">
                  <c:v>2.15</c:v>
                </c:pt>
                <c:pt idx="4">
                  <c:v>2.25</c:v>
                </c:pt>
                <c:pt idx="5">
                  <c:v>2</c:v>
                </c:pt>
                <c:pt idx="6">
                  <c:v>2</c:v>
                </c:pt>
                <c:pt idx="7">
                  <c:v>1.65</c:v>
                </c:pt>
                <c:pt idx="8">
                  <c:v>2.2999999999999998</c:v>
                </c:pt>
                <c:pt idx="9">
                  <c:v>2.2999999999999998</c:v>
                </c:pt>
                <c:pt idx="10">
                  <c:v>2.2999999999999998</c:v>
                </c:pt>
                <c:pt idx="11">
                  <c:v>1.75</c:v>
                </c:pt>
                <c:pt idx="12">
                  <c:v>2.5</c:v>
                </c:pt>
                <c:pt idx="13">
                  <c:v>2.35</c:v>
                </c:pt>
                <c:pt idx="14">
                  <c:v>2.5</c:v>
                </c:pt>
                <c:pt idx="15">
                  <c:v>2.2000000000000002</c:v>
                </c:pt>
                <c:pt idx="16">
                  <c:v>2.25</c:v>
                </c:pt>
                <c:pt idx="17">
                  <c:v>2.25</c:v>
                </c:pt>
                <c:pt idx="18">
                  <c:v>2.2400000000000002</c:v>
                </c:pt>
                <c:pt idx="19">
                  <c:v>2.25</c:v>
                </c:pt>
                <c:pt idx="20">
                  <c:v>2.25</c:v>
                </c:pt>
                <c:pt idx="21">
                  <c:v>2.35</c:v>
                </c:pt>
                <c:pt idx="22">
                  <c:v>2.35</c:v>
                </c:pt>
                <c:pt idx="23">
                  <c:v>1.8</c:v>
                </c:pt>
                <c:pt idx="24">
                  <c:v>2.0499999999999998</c:v>
                </c:pt>
                <c:pt idx="25">
                  <c:v>2.1</c:v>
                </c:pt>
                <c:pt idx="26">
                  <c:v>2.2999999999999998</c:v>
                </c:pt>
                <c:pt idx="27">
                  <c:v>2.2999999999999998</c:v>
                </c:pt>
                <c:pt idx="28">
                  <c:v>2.2999999999999998</c:v>
                </c:pt>
                <c:pt idx="29">
                  <c:v>2.2999999999999998</c:v>
                </c:pt>
                <c:pt idx="30">
                  <c:v>2.2999999999999998</c:v>
                </c:pt>
                <c:pt idx="31">
                  <c:v>2.25</c:v>
                </c:pt>
                <c:pt idx="32">
                  <c:v>2.5</c:v>
                </c:pt>
                <c:pt idx="33">
                  <c:v>2.25</c:v>
                </c:pt>
                <c:pt idx="34">
                  <c:v>2.25</c:v>
                </c:pt>
                <c:pt idx="35">
                  <c:v>2.2999999999999998</c:v>
                </c:pt>
                <c:pt idx="36">
                  <c:v>2.15</c:v>
                </c:pt>
                <c:pt idx="37">
                  <c:v>2.15</c:v>
                </c:pt>
                <c:pt idx="38">
                  <c:v>2.2000000000000002</c:v>
                </c:pt>
                <c:pt idx="39">
                  <c:v>2.35</c:v>
                </c:pt>
                <c:pt idx="40">
                  <c:v>2.35</c:v>
                </c:pt>
                <c:pt idx="41">
                  <c:v>2.35</c:v>
                </c:pt>
                <c:pt idx="42">
                  <c:v>2.35</c:v>
                </c:pt>
                <c:pt idx="43" formatCode="General">
                  <c:v>2.35</c:v>
                </c:pt>
                <c:pt idx="44" formatCode="General">
                  <c:v>2.35</c:v>
                </c:pt>
                <c:pt idx="45" formatCode="General">
                  <c:v>2.35</c:v>
                </c:pt>
                <c:pt idx="46" formatCode="General">
                  <c:v>2.35</c:v>
                </c:pt>
                <c:pt idx="47" formatCode="General">
                  <c:v>2.25</c:v>
                </c:pt>
                <c:pt idx="48" formatCode="General">
                  <c:v>2.25</c:v>
                </c:pt>
                <c:pt idx="49" formatCode="General">
                  <c:v>2.25</c:v>
                </c:pt>
                <c:pt idx="50">
                  <c:v>1.9</c:v>
                </c:pt>
                <c:pt idx="51">
                  <c:v>1.87</c:v>
                </c:pt>
                <c:pt idx="52">
                  <c:v>1.8</c:v>
                </c:pt>
                <c:pt idx="53" formatCode="General">
                  <c:v>1.95</c:v>
                </c:pt>
                <c:pt idx="54" formatCode="General">
                  <c:v>1.95</c:v>
                </c:pt>
                <c:pt idx="55" formatCode="General">
                  <c:v>1.95</c:v>
                </c:pt>
                <c:pt idx="56" formatCode="General">
                  <c:v>1.85</c:v>
                </c:pt>
                <c:pt idx="57">
                  <c:v>1.9</c:v>
                </c:pt>
                <c:pt idx="58">
                  <c:v>1.9</c:v>
                </c:pt>
                <c:pt idx="59">
                  <c:v>2</c:v>
                </c:pt>
                <c:pt idx="60" formatCode="General">
                  <c:v>2.0499999999999998</c:v>
                </c:pt>
                <c:pt idx="61" formatCode="General">
                  <c:v>1.75</c:v>
                </c:pt>
                <c:pt idx="62">
                  <c:v>1.5</c:v>
                </c:pt>
                <c:pt idx="63">
                  <c:v>1.5</c:v>
                </c:pt>
              </c:numCache>
            </c:numRef>
          </c:val>
          <c:smooth val="0"/>
        </c:ser>
        <c:ser>
          <c:idx val="0"/>
          <c:order val="2"/>
          <c:tx>
            <c:strRef>
              <c:f>'Futures&amp;BasisChartData'!$B$1</c:f>
              <c:strCache>
                <c:ptCount val="1"/>
                <c:pt idx="0">
                  <c:v>Mpls Future</c:v>
                </c:pt>
              </c:strCache>
            </c:strRef>
          </c:tx>
          <c:spPr>
            <a:ln w="12700">
              <a:solidFill>
                <a:srgbClr val="993366"/>
              </a:solidFill>
              <a:prstDash val="solid"/>
            </a:ln>
          </c:spPr>
          <c:marker>
            <c:symbol val="x"/>
            <c:size val="3"/>
            <c:spPr>
              <a:solidFill>
                <a:srgbClr val="993366"/>
              </a:solidFill>
              <a:ln>
                <a:solidFill>
                  <a:srgbClr val="993366"/>
                </a:solidFill>
                <a:prstDash val="solid"/>
              </a:ln>
            </c:spPr>
          </c:marker>
          <c:cat>
            <c:numRef>
              <c:f>'Futures&amp;BasisChartData'!$A$1345:$A$1408</c:f>
              <c:numCache>
                <c:formatCode>[$-F800]dddd\,\ mmmm\ dd\,\ yyyy</c:formatCode>
                <c:ptCount val="64"/>
                <c:pt idx="0">
                  <c:v>40996</c:v>
                </c:pt>
                <c:pt idx="1">
                  <c:v>40997</c:v>
                </c:pt>
                <c:pt idx="2">
                  <c:v>40998</c:v>
                </c:pt>
                <c:pt idx="3">
                  <c:v>41001</c:v>
                </c:pt>
                <c:pt idx="4">
                  <c:v>41002</c:v>
                </c:pt>
                <c:pt idx="5">
                  <c:v>41003</c:v>
                </c:pt>
                <c:pt idx="6">
                  <c:v>41004</c:v>
                </c:pt>
                <c:pt idx="7">
                  <c:v>41008</c:v>
                </c:pt>
                <c:pt idx="8">
                  <c:v>41009</c:v>
                </c:pt>
                <c:pt idx="9">
                  <c:v>41010</c:v>
                </c:pt>
                <c:pt idx="10">
                  <c:v>41011</c:v>
                </c:pt>
                <c:pt idx="11">
                  <c:v>41012</c:v>
                </c:pt>
                <c:pt idx="12">
                  <c:v>41015</c:v>
                </c:pt>
                <c:pt idx="13">
                  <c:v>41016</c:v>
                </c:pt>
                <c:pt idx="14">
                  <c:v>41017</c:v>
                </c:pt>
                <c:pt idx="15">
                  <c:v>41018</c:v>
                </c:pt>
                <c:pt idx="16">
                  <c:v>41019</c:v>
                </c:pt>
                <c:pt idx="17">
                  <c:v>41022</c:v>
                </c:pt>
                <c:pt idx="18">
                  <c:v>41023</c:v>
                </c:pt>
                <c:pt idx="19">
                  <c:v>41024</c:v>
                </c:pt>
                <c:pt idx="20">
                  <c:v>41025</c:v>
                </c:pt>
                <c:pt idx="21">
                  <c:v>41026</c:v>
                </c:pt>
                <c:pt idx="22">
                  <c:v>41029</c:v>
                </c:pt>
                <c:pt idx="23">
                  <c:v>41030</c:v>
                </c:pt>
                <c:pt idx="24">
                  <c:v>41031</c:v>
                </c:pt>
                <c:pt idx="25">
                  <c:v>41032</c:v>
                </c:pt>
                <c:pt idx="26">
                  <c:v>41033</c:v>
                </c:pt>
                <c:pt idx="27">
                  <c:v>41036</c:v>
                </c:pt>
                <c:pt idx="28">
                  <c:v>41037</c:v>
                </c:pt>
                <c:pt idx="29">
                  <c:v>41038</c:v>
                </c:pt>
                <c:pt idx="30">
                  <c:v>41039</c:v>
                </c:pt>
                <c:pt idx="31">
                  <c:v>41040</c:v>
                </c:pt>
                <c:pt idx="32">
                  <c:v>41043</c:v>
                </c:pt>
                <c:pt idx="33">
                  <c:v>41044</c:v>
                </c:pt>
                <c:pt idx="34">
                  <c:v>41045</c:v>
                </c:pt>
                <c:pt idx="35">
                  <c:v>41046</c:v>
                </c:pt>
                <c:pt idx="36">
                  <c:v>41047</c:v>
                </c:pt>
                <c:pt idx="37">
                  <c:v>41050</c:v>
                </c:pt>
                <c:pt idx="38">
                  <c:v>41051</c:v>
                </c:pt>
                <c:pt idx="39">
                  <c:v>41052</c:v>
                </c:pt>
                <c:pt idx="40">
                  <c:v>41053</c:v>
                </c:pt>
                <c:pt idx="41">
                  <c:v>41054</c:v>
                </c:pt>
                <c:pt idx="42">
                  <c:v>41058</c:v>
                </c:pt>
                <c:pt idx="43">
                  <c:v>41059</c:v>
                </c:pt>
                <c:pt idx="44">
                  <c:v>41060</c:v>
                </c:pt>
                <c:pt idx="45">
                  <c:v>41061</c:v>
                </c:pt>
                <c:pt idx="46">
                  <c:v>41064</c:v>
                </c:pt>
                <c:pt idx="47">
                  <c:v>41065</c:v>
                </c:pt>
                <c:pt idx="48">
                  <c:v>41066</c:v>
                </c:pt>
                <c:pt idx="49">
                  <c:v>41067</c:v>
                </c:pt>
                <c:pt idx="50">
                  <c:v>41068</c:v>
                </c:pt>
                <c:pt idx="51">
                  <c:v>41071</c:v>
                </c:pt>
                <c:pt idx="52">
                  <c:v>41072</c:v>
                </c:pt>
                <c:pt idx="53">
                  <c:v>41073</c:v>
                </c:pt>
                <c:pt idx="54">
                  <c:v>41074</c:v>
                </c:pt>
                <c:pt idx="55">
                  <c:v>41075</c:v>
                </c:pt>
                <c:pt idx="56">
                  <c:v>41078</c:v>
                </c:pt>
                <c:pt idx="57">
                  <c:v>41079</c:v>
                </c:pt>
                <c:pt idx="58">
                  <c:v>41080</c:v>
                </c:pt>
                <c:pt idx="59">
                  <c:v>41081</c:v>
                </c:pt>
                <c:pt idx="60">
                  <c:v>41082</c:v>
                </c:pt>
                <c:pt idx="61">
                  <c:v>41085</c:v>
                </c:pt>
                <c:pt idx="62">
                  <c:v>41086</c:v>
                </c:pt>
                <c:pt idx="63">
                  <c:v>41087</c:v>
                </c:pt>
              </c:numCache>
            </c:numRef>
          </c:cat>
          <c:val>
            <c:numRef>
              <c:f>'Futures&amp;BasisChartData'!$B$1345:$B$1408</c:f>
              <c:numCache>
                <c:formatCode>0.000</c:formatCode>
                <c:ptCount val="64"/>
                <c:pt idx="0">
                  <c:v>7.976</c:v>
                </c:pt>
                <c:pt idx="1">
                  <c:v>7.8875000000000002</c:v>
                </c:pt>
                <c:pt idx="2">
                  <c:v>8.375</c:v>
                </c:pt>
                <c:pt idx="3">
                  <c:v>8.4924999999999997</c:v>
                </c:pt>
                <c:pt idx="4">
                  <c:v>8.5020000000000007</c:v>
                </c:pt>
                <c:pt idx="5">
                  <c:v>8.4574999999999996</c:v>
                </c:pt>
                <c:pt idx="6">
                  <c:v>8.4600000000000009</c:v>
                </c:pt>
                <c:pt idx="7">
                  <c:v>8.4700000000000006</c:v>
                </c:pt>
                <c:pt idx="8">
                  <c:v>8.3369999999999997</c:v>
                </c:pt>
                <c:pt idx="9">
                  <c:v>8.3825000000000003</c:v>
                </c:pt>
                <c:pt idx="10">
                  <c:v>8.3650000000000002</c:v>
                </c:pt>
                <c:pt idx="11">
                  <c:v>8.2420000000000009</c:v>
                </c:pt>
                <c:pt idx="12">
                  <c:v>8.1549999999999994</c:v>
                </c:pt>
                <c:pt idx="13">
                  <c:v>8.0850000000000009</c:v>
                </c:pt>
                <c:pt idx="14">
                  <c:v>8</c:v>
                </c:pt>
                <c:pt idx="15">
                  <c:v>8.0924999999999994</c:v>
                </c:pt>
                <c:pt idx="16">
                  <c:v>7.91</c:v>
                </c:pt>
                <c:pt idx="17">
                  <c:v>7.9169999999999998</c:v>
                </c:pt>
                <c:pt idx="18">
                  <c:v>7.8449999999999998</c:v>
                </c:pt>
                <c:pt idx="19">
                  <c:v>7.8274999999999997</c:v>
                </c:pt>
                <c:pt idx="20">
                  <c:v>7.6775000000000002</c:v>
                </c:pt>
                <c:pt idx="21">
                  <c:v>7.74</c:v>
                </c:pt>
                <c:pt idx="22">
                  <c:v>7.835</c:v>
                </c:pt>
                <c:pt idx="23">
                  <c:v>7.742</c:v>
                </c:pt>
                <c:pt idx="24">
                  <c:v>7.51</c:v>
                </c:pt>
                <c:pt idx="25">
                  <c:v>7.4550000000000001</c:v>
                </c:pt>
                <c:pt idx="26">
                  <c:v>7.44</c:v>
                </c:pt>
                <c:pt idx="27">
                  <c:v>7.36</c:v>
                </c:pt>
                <c:pt idx="28">
                  <c:v>7.3250000000000002</c:v>
                </c:pt>
                <c:pt idx="29">
                  <c:v>7.3025000000000002</c:v>
                </c:pt>
                <c:pt idx="30">
                  <c:v>7.2720000000000002</c:v>
                </c:pt>
                <c:pt idx="31">
                  <c:v>7.2619999999999996</c:v>
                </c:pt>
                <c:pt idx="32">
                  <c:v>7.2569999999999997</c:v>
                </c:pt>
                <c:pt idx="33">
                  <c:v>7.5049999999999999</c:v>
                </c:pt>
                <c:pt idx="34">
                  <c:v>7.6</c:v>
                </c:pt>
                <c:pt idx="35">
                  <c:v>7.6725000000000003</c:v>
                </c:pt>
                <c:pt idx="36">
                  <c:v>7.92</c:v>
                </c:pt>
                <c:pt idx="37">
                  <c:v>7.9625000000000004</c:v>
                </c:pt>
                <c:pt idx="38">
                  <c:v>7.8049999999999997</c:v>
                </c:pt>
                <c:pt idx="39" formatCode="#,##0.000">
                  <c:v>7.75</c:v>
                </c:pt>
                <c:pt idx="40" formatCode="#,##0.000">
                  <c:v>7.7549999999999999</c:v>
                </c:pt>
                <c:pt idx="41">
                  <c:v>7.8019999999999996</c:v>
                </c:pt>
                <c:pt idx="42">
                  <c:v>7.6820000000000004</c:v>
                </c:pt>
                <c:pt idx="43">
                  <c:v>7.6275000000000004</c:v>
                </c:pt>
                <c:pt idx="44">
                  <c:v>7.53</c:v>
                </c:pt>
                <c:pt idx="45">
                  <c:v>7.3940000000000001</c:v>
                </c:pt>
                <c:pt idx="46">
                  <c:v>7.4240000000000004</c:v>
                </c:pt>
                <c:pt idx="47">
                  <c:v>7.2874999999999996</c:v>
                </c:pt>
                <c:pt idx="48">
                  <c:v>7.44</c:v>
                </c:pt>
                <c:pt idx="49">
                  <c:v>7.6669999999999998</c:v>
                </c:pt>
                <c:pt idx="50">
                  <c:v>7.6920000000000002</c:v>
                </c:pt>
                <c:pt idx="51">
                  <c:v>7.7969999999999997</c:v>
                </c:pt>
                <c:pt idx="52">
                  <c:v>7.6420000000000003</c:v>
                </c:pt>
                <c:pt idx="53">
                  <c:v>7.7350000000000003</c:v>
                </c:pt>
                <c:pt idx="54">
                  <c:v>7.9420000000000002</c:v>
                </c:pt>
                <c:pt idx="55">
                  <c:v>7.875</c:v>
                </c:pt>
                <c:pt idx="56">
                  <c:v>8.0250000000000004</c:v>
                </c:pt>
                <c:pt idx="57">
                  <c:v>7.9850000000000003</c:v>
                </c:pt>
                <c:pt idx="58">
                  <c:v>8.4425000000000008</c:v>
                </c:pt>
                <c:pt idx="59">
                  <c:v>8.4369999999999994</c:v>
                </c:pt>
                <c:pt idx="60">
                  <c:v>8.59</c:v>
                </c:pt>
                <c:pt idx="61">
                  <c:v>8.8000000000000007</c:v>
                </c:pt>
                <c:pt idx="62">
                  <c:v>8.5299999999999994</c:v>
                </c:pt>
                <c:pt idx="63">
                  <c:v>8.4420000000000002</c:v>
                </c:pt>
              </c:numCache>
            </c:numRef>
          </c:val>
          <c:smooth val="0"/>
        </c:ser>
        <c:ser>
          <c:idx val="2"/>
          <c:order val="3"/>
          <c:tx>
            <c:strRef>
              <c:f>'Futures&amp;BasisChartData'!$E$1</c:f>
              <c:strCache>
                <c:ptCount val="1"/>
                <c:pt idx="0">
                  <c:v>Winter 13% Basis (from MarketFax No.1 hard winter)</c:v>
                </c:pt>
              </c:strCache>
            </c:strRef>
          </c:tx>
          <c:spPr>
            <a:ln w="12700">
              <a:solidFill>
                <a:srgbClr val="0000FF"/>
              </a:solidFill>
              <a:prstDash val="solid"/>
            </a:ln>
          </c:spPr>
          <c:marker>
            <c:symbol val="triangle"/>
            <c:size val="4"/>
            <c:spPr>
              <a:solidFill>
                <a:srgbClr val="0000FF"/>
              </a:solidFill>
              <a:ln>
                <a:solidFill>
                  <a:srgbClr val="0000FF"/>
                </a:solidFill>
                <a:prstDash val="solid"/>
              </a:ln>
            </c:spPr>
          </c:marker>
          <c:cat>
            <c:numRef>
              <c:f>'Futures&amp;BasisChartData'!$A$1345:$A$1408</c:f>
              <c:numCache>
                <c:formatCode>[$-F800]dddd\,\ mmmm\ dd\,\ yyyy</c:formatCode>
                <c:ptCount val="64"/>
                <c:pt idx="0">
                  <c:v>40996</c:v>
                </c:pt>
                <c:pt idx="1">
                  <c:v>40997</c:v>
                </c:pt>
                <c:pt idx="2">
                  <c:v>40998</c:v>
                </c:pt>
                <c:pt idx="3">
                  <c:v>41001</c:v>
                </c:pt>
                <c:pt idx="4">
                  <c:v>41002</c:v>
                </c:pt>
                <c:pt idx="5">
                  <c:v>41003</c:v>
                </c:pt>
                <c:pt idx="6">
                  <c:v>41004</c:v>
                </c:pt>
                <c:pt idx="7">
                  <c:v>41008</c:v>
                </c:pt>
                <c:pt idx="8">
                  <c:v>41009</c:v>
                </c:pt>
                <c:pt idx="9">
                  <c:v>41010</c:v>
                </c:pt>
                <c:pt idx="10">
                  <c:v>41011</c:v>
                </c:pt>
                <c:pt idx="11">
                  <c:v>41012</c:v>
                </c:pt>
                <c:pt idx="12">
                  <c:v>41015</c:v>
                </c:pt>
                <c:pt idx="13">
                  <c:v>41016</c:v>
                </c:pt>
                <c:pt idx="14">
                  <c:v>41017</c:v>
                </c:pt>
                <c:pt idx="15">
                  <c:v>41018</c:v>
                </c:pt>
                <c:pt idx="16">
                  <c:v>41019</c:v>
                </c:pt>
                <c:pt idx="17">
                  <c:v>41022</c:v>
                </c:pt>
                <c:pt idx="18">
                  <c:v>41023</c:v>
                </c:pt>
                <c:pt idx="19">
                  <c:v>41024</c:v>
                </c:pt>
                <c:pt idx="20">
                  <c:v>41025</c:v>
                </c:pt>
                <c:pt idx="21">
                  <c:v>41026</c:v>
                </c:pt>
                <c:pt idx="22">
                  <c:v>41029</c:v>
                </c:pt>
                <c:pt idx="23">
                  <c:v>41030</c:v>
                </c:pt>
                <c:pt idx="24">
                  <c:v>41031</c:v>
                </c:pt>
                <c:pt idx="25">
                  <c:v>41032</c:v>
                </c:pt>
                <c:pt idx="26">
                  <c:v>41033</c:v>
                </c:pt>
                <c:pt idx="27">
                  <c:v>41036</c:v>
                </c:pt>
                <c:pt idx="28">
                  <c:v>41037</c:v>
                </c:pt>
                <c:pt idx="29">
                  <c:v>41038</c:v>
                </c:pt>
                <c:pt idx="30">
                  <c:v>41039</c:v>
                </c:pt>
                <c:pt idx="31">
                  <c:v>41040</c:v>
                </c:pt>
                <c:pt idx="32">
                  <c:v>41043</c:v>
                </c:pt>
                <c:pt idx="33">
                  <c:v>41044</c:v>
                </c:pt>
                <c:pt idx="34">
                  <c:v>41045</c:v>
                </c:pt>
                <c:pt idx="35">
                  <c:v>41046</c:v>
                </c:pt>
                <c:pt idx="36">
                  <c:v>41047</c:v>
                </c:pt>
                <c:pt idx="37">
                  <c:v>41050</c:v>
                </c:pt>
                <c:pt idx="38">
                  <c:v>41051</c:v>
                </c:pt>
                <c:pt idx="39">
                  <c:v>41052</c:v>
                </c:pt>
                <c:pt idx="40">
                  <c:v>41053</c:v>
                </c:pt>
                <c:pt idx="41">
                  <c:v>41054</c:v>
                </c:pt>
                <c:pt idx="42">
                  <c:v>41058</c:v>
                </c:pt>
                <c:pt idx="43">
                  <c:v>41059</c:v>
                </c:pt>
                <c:pt idx="44">
                  <c:v>41060</c:v>
                </c:pt>
                <c:pt idx="45">
                  <c:v>41061</c:v>
                </c:pt>
                <c:pt idx="46">
                  <c:v>41064</c:v>
                </c:pt>
                <c:pt idx="47">
                  <c:v>41065</c:v>
                </c:pt>
                <c:pt idx="48">
                  <c:v>41066</c:v>
                </c:pt>
                <c:pt idx="49">
                  <c:v>41067</c:v>
                </c:pt>
                <c:pt idx="50">
                  <c:v>41068</c:v>
                </c:pt>
                <c:pt idx="51">
                  <c:v>41071</c:v>
                </c:pt>
                <c:pt idx="52">
                  <c:v>41072</c:v>
                </c:pt>
                <c:pt idx="53">
                  <c:v>41073</c:v>
                </c:pt>
                <c:pt idx="54">
                  <c:v>41074</c:v>
                </c:pt>
                <c:pt idx="55">
                  <c:v>41075</c:v>
                </c:pt>
                <c:pt idx="56">
                  <c:v>41078</c:v>
                </c:pt>
                <c:pt idx="57">
                  <c:v>41079</c:v>
                </c:pt>
                <c:pt idx="58">
                  <c:v>41080</c:v>
                </c:pt>
                <c:pt idx="59">
                  <c:v>41081</c:v>
                </c:pt>
                <c:pt idx="60">
                  <c:v>41082</c:v>
                </c:pt>
                <c:pt idx="61">
                  <c:v>41085</c:v>
                </c:pt>
                <c:pt idx="62">
                  <c:v>41086</c:v>
                </c:pt>
                <c:pt idx="63">
                  <c:v>41087</c:v>
                </c:pt>
              </c:numCache>
            </c:numRef>
          </c:cat>
          <c:val>
            <c:numRef>
              <c:f>'Futures&amp;BasisChartData'!$E$1345:$E$1408</c:f>
              <c:numCache>
                <c:formatCode>0.00</c:formatCode>
                <c:ptCount val="64"/>
                <c:pt idx="0">
                  <c:v>1.29</c:v>
                </c:pt>
                <c:pt idx="1">
                  <c:v>1.29</c:v>
                </c:pt>
                <c:pt idx="2">
                  <c:v>1.3</c:v>
                </c:pt>
                <c:pt idx="3">
                  <c:v>1.28</c:v>
                </c:pt>
                <c:pt idx="4">
                  <c:v>1.28</c:v>
                </c:pt>
                <c:pt idx="5">
                  <c:v>1.28</c:v>
                </c:pt>
                <c:pt idx="6">
                  <c:v>1.28</c:v>
                </c:pt>
                <c:pt idx="7">
                  <c:v>1.23</c:v>
                </c:pt>
                <c:pt idx="8">
                  <c:v>1.18</c:v>
                </c:pt>
                <c:pt idx="9">
                  <c:v>1.18</c:v>
                </c:pt>
                <c:pt idx="10">
                  <c:v>1.18</c:v>
                </c:pt>
                <c:pt idx="11">
                  <c:v>1.18</c:v>
                </c:pt>
                <c:pt idx="12">
                  <c:v>1.18</c:v>
                </c:pt>
                <c:pt idx="13">
                  <c:v>1.18</c:v>
                </c:pt>
                <c:pt idx="14">
                  <c:v>1.18</c:v>
                </c:pt>
                <c:pt idx="15">
                  <c:v>1.1499999999999999</c:v>
                </c:pt>
                <c:pt idx="16">
                  <c:v>1.1499999999999999</c:v>
                </c:pt>
                <c:pt idx="17">
                  <c:v>1.1499999999999999</c:v>
                </c:pt>
                <c:pt idx="18">
                  <c:v>1.1499999999999999</c:v>
                </c:pt>
                <c:pt idx="19">
                  <c:v>1.1499999999999999</c:v>
                </c:pt>
                <c:pt idx="20">
                  <c:v>1.05</c:v>
                </c:pt>
                <c:pt idx="21">
                  <c:v>1.05</c:v>
                </c:pt>
                <c:pt idx="22">
                  <c:v>1.05</c:v>
                </c:pt>
                <c:pt idx="23">
                  <c:v>1.05</c:v>
                </c:pt>
                <c:pt idx="24">
                  <c:v>1.05</c:v>
                </c:pt>
                <c:pt idx="25">
                  <c:v>1.05</c:v>
                </c:pt>
                <c:pt idx="26">
                  <c:v>1.2</c:v>
                </c:pt>
                <c:pt idx="27">
                  <c:v>1.2</c:v>
                </c:pt>
                <c:pt idx="28">
                  <c:v>1.2</c:v>
                </c:pt>
                <c:pt idx="29">
                  <c:v>1.25</c:v>
                </c:pt>
                <c:pt idx="30">
                  <c:v>1.25</c:v>
                </c:pt>
                <c:pt idx="31">
                  <c:v>1.25</c:v>
                </c:pt>
                <c:pt idx="32">
                  <c:v>1.25</c:v>
                </c:pt>
                <c:pt idx="33">
                  <c:v>1.25</c:v>
                </c:pt>
                <c:pt idx="34">
                  <c:v>1.1499999999999999</c:v>
                </c:pt>
                <c:pt idx="35">
                  <c:v>1.1499999999999999</c:v>
                </c:pt>
                <c:pt idx="36">
                  <c:v>1.1499999999999999</c:v>
                </c:pt>
                <c:pt idx="37">
                  <c:v>1.1499999999999999</c:v>
                </c:pt>
                <c:pt idx="38">
                  <c:v>1.1499999999999999</c:v>
                </c:pt>
                <c:pt idx="39">
                  <c:v>1.1499999999999999</c:v>
                </c:pt>
                <c:pt idx="40">
                  <c:v>1.1499999999999999</c:v>
                </c:pt>
                <c:pt idx="41">
                  <c:v>1.1499999999999999</c:v>
                </c:pt>
                <c:pt idx="42">
                  <c:v>1.1499999999999999</c:v>
                </c:pt>
                <c:pt idx="43" formatCode="General">
                  <c:v>1.1499999999999999</c:v>
                </c:pt>
                <c:pt idx="44" formatCode="General">
                  <c:v>1.25</c:v>
                </c:pt>
                <c:pt idx="45" formatCode="General">
                  <c:v>1.25</c:v>
                </c:pt>
                <c:pt idx="46" formatCode="General">
                  <c:v>1.25</c:v>
                </c:pt>
                <c:pt idx="47" formatCode="General">
                  <c:v>1.25</c:v>
                </c:pt>
                <c:pt idx="48" formatCode="General">
                  <c:v>1.25</c:v>
                </c:pt>
                <c:pt idx="49" formatCode="General">
                  <c:v>1.25</c:v>
                </c:pt>
                <c:pt idx="50" formatCode="General">
                  <c:v>1.18</c:v>
                </c:pt>
                <c:pt idx="51" formatCode="General">
                  <c:v>1.18</c:v>
                </c:pt>
                <c:pt idx="52" formatCode="General">
                  <c:v>1.18</c:v>
                </c:pt>
                <c:pt idx="53">
                  <c:v>1.3</c:v>
                </c:pt>
                <c:pt idx="54">
                  <c:v>1.3</c:v>
                </c:pt>
                <c:pt idx="55">
                  <c:v>1.35</c:v>
                </c:pt>
                <c:pt idx="56" formatCode="General">
                  <c:v>1.35</c:v>
                </c:pt>
                <c:pt idx="57" formatCode="General">
                  <c:v>1.35</c:v>
                </c:pt>
                <c:pt idx="58" formatCode="General">
                  <c:v>1.32</c:v>
                </c:pt>
                <c:pt idx="59" formatCode="General">
                  <c:v>1.42</c:v>
                </c:pt>
                <c:pt idx="60">
                  <c:v>1.5</c:v>
                </c:pt>
                <c:pt idx="61">
                  <c:v>1.5</c:v>
                </c:pt>
                <c:pt idx="62">
                  <c:v>1.5</c:v>
                </c:pt>
                <c:pt idx="63">
                  <c:v>1.45</c:v>
                </c:pt>
              </c:numCache>
            </c:numRef>
          </c:val>
          <c:smooth val="0"/>
        </c:ser>
        <c:dLbls>
          <c:showLegendKey val="0"/>
          <c:showVal val="0"/>
          <c:showCatName val="0"/>
          <c:showSerName val="0"/>
          <c:showPercent val="0"/>
          <c:showBubbleSize val="0"/>
        </c:dLbls>
        <c:marker val="1"/>
        <c:smooth val="0"/>
        <c:axId val="45865600"/>
        <c:axId val="48620672"/>
      </c:lineChart>
      <c:dateAx>
        <c:axId val="45865600"/>
        <c:scaling>
          <c:orientation val="minMax"/>
        </c:scaling>
        <c:delete val="0"/>
        <c:axPos val="b"/>
        <c:numFmt formatCode="mm/dd/yyyy" sourceLinked="0"/>
        <c:majorTickMark val="out"/>
        <c:minorTickMark val="none"/>
        <c:tickLblPos val="low"/>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48620672"/>
        <c:crosses val="autoZero"/>
        <c:auto val="1"/>
        <c:lblOffset val="100"/>
        <c:baseTimeUnit val="days"/>
        <c:majorUnit val="8"/>
        <c:majorTimeUnit val="days"/>
        <c:minorUnit val="1"/>
        <c:minorTimeUnit val="days"/>
      </c:dateAx>
      <c:valAx>
        <c:axId val="48620672"/>
        <c:scaling>
          <c:orientation val="minMax"/>
          <c:max val="10"/>
          <c:min val="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US"/>
                  <a:t>Bushel Price</a:t>
                </a:r>
              </a:p>
            </c:rich>
          </c:tx>
          <c:layout>
            <c:manualLayout>
              <c:xMode val="edge"/>
              <c:yMode val="edge"/>
              <c:x val="0"/>
              <c:y val="0.40188383045525938"/>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45865600"/>
        <c:crosses val="autoZero"/>
        <c:crossBetween val="between"/>
        <c:majorUnit val="1"/>
      </c:valAx>
      <c:spPr>
        <a:noFill/>
        <a:ln w="12700">
          <a:solidFill>
            <a:srgbClr val="808080"/>
          </a:solidFill>
          <a:prstDash val="solid"/>
        </a:ln>
      </c:spPr>
    </c:plotArea>
    <c:legend>
      <c:legendPos val="r"/>
      <c:layout>
        <c:manualLayout>
          <c:xMode val="edge"/>
          <c:yMode val="edge"/>
          <c:x val="0.70001306798675478"/>
          <c:y val="0.12558869701726844"/>
          <c:w val="0.29665732711681081"/>
          <c:h val="0.45919502453497663"/>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0.70042</cdr:x>
      <cdr:y>0.60763</cdr:y>
    </cdr:from>
    <cdr:to>
      <cdr:x>1</cdr:x>
      <cdr:y>1</cdr:y>
    </cdr:to>
    <cdr:sp macro="" textlink="">
      <cdr:nvSpPr>
        <cdr:cNvPr id="44033" name="Text Box 1"/>
        <cdr:cNvSpPr txBox="1">
          <a:spLocks xmlns:a="http://schemas.openxmlformats.org/drawingml/2006/main" noChangeArrowheads="1"/>
        </cdr:cNvSpPr>
      </cdr:nvSpPr>
      <cdr:spPr bwMode="auto">
        <a:xfrm xmlns:a="http://schemas.openxmlformats.org/drawingml/2006/main">
          <a:off x="4743450" y="2124075"/>
          <a:ext cx="2028825" cy="13716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00" b="0" i="0" strike="noStrike">
              <a:solidFill>
                <a:srgbClr val="000000"/>
              </a:solidFill>
              <a:latin typeface="Arial"/>
              <a:cs typeface="Arial"/>
            </a:rPr>
            <a:t>Flour pricing consists of a combination of Wheat futures prices and Basis Premium prices per bushel.  Information contained on this chart closely resembles Gold Medal All Trumps, Mpls. Future + 15% Basis, and Harvest King, KC Future + 13% Basis.  This chart does not reflect changes in millfeed values.</a:t>
          </a:r>
        </a:p>
      </cdr:txBody>
    </cdr:sp>
  </cdr:relSizeAnchor>
  <cdr:relSizeAnchor xmlns:cdr="http://schemas.openxmlformats.org/drawingml/2006/chartDrawing">
    <cdr:from>
      <cdr:x>0.049</cdr:x>
      <cdr:y>0.95918</cdr:y>
    </cdr:from>
    <cdr:to>
      <cdr:x>0.642</cdr:x>
      <cdr:y>1</cdr:y>
    </cdr:to>
    <cdr:sp macro="" textlink="">
      <cdr:nvSpPr>
        <cdr:cNvPr id="44034" name="Text Box 2"/>
        <cdr:cNvSpPr txBox="1">
          <a:spLocks xmlns:a="http://schemas.openxmlformats.org/drawingml/2006/main" noChangeArrowheads="1"/>
        </cdr:cNvSpPr>
      </cdr:nvSpPr>
      <cdr:spPr bwMode="auto">
        <a:xfrm xmlns:a="http://schemas.openxmlformats.org/drawingml/2006/main">
          <a:off x="331811" y="3410132"/>
          <a:ext cx="4015959" cy="1426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ctr" rtl="0">
            <a:defRPr sz="1000"/>
          </a:pPr>
          <a:r>
            <a:rPr lang="en-US" sz="1000" b="0" i="0" strike="noStrike">
              <a:solidFill>
                <a:srgbClr val="000000"/>
              </a:solidFill>
              <a:latin typeface="Arial"/>
              <a:cs typeface="Arial"/>
            </a:rPr>
            <a:t>This Chart is meant to indicate Market Direction Only.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JT Mega</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Alexander</dc:creator>
  <cp:lastModifiedBy>Brenda Mengelkoch</cp:lastModifiedBy>
  <cp:revision>2</cp:revision>
  <dcterms:created xsi:type="dcterms:W3CDTF">2012-06-28T18:08:00Z</dcterms:created>
  <dcterms:modified xsi:type="dcterms:W3CDTF">2012-06-28T18:08:00Z</dcterms:modified>
</cp:coreProperties>
</file>